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374DD" w14:textId="77777777" w:rsidR="00762E58" w:rsidRDefault="00762E58" w:rsidP="00EF136A">
      <w:pPr>
        <w:spacing w:before="100" w:beforeAutospacing="1" w:after="100" w:afterAutospacing="1" w:line="240" w:lineRule="auto"/>
        <w:outlineLvl w:val="1"/>
        <w:rPr>
          <w:rFonts w:ascii="Times New Roman" w:eastAsia="Times New Roman" w:hAnsi="Times New Roman" w:cs="Times New Roman"/>
          <w:b/>
          <w:bCs/>
          <w:kern w:val="0"/>
          <w:sz w:val="36"/>
          <w:szCs w:val="36"/>
          <w:lang w:eastAsia="fr-FR"/>
          <w14:ligatures w14:val="none"/>
        </w:rPr>
      </w:pPr>
    </w:p>
    <w:p w14:paraId="3DC6F015" w14:textId="10F66D43" w:rsidR="00762E58" w:rsidRPr="00762E58" w:rsidRDefault="00762E58" w:rsidP="00EF136A">
      <w:pPr>
        <w:spacing w:before="100" w:beforeAutospacing="1" w:after="100" w:afterAutospacing="1" w:line="240" w:lineRule="auto"/>
        <w:outlineLvl w:val="1"/>
        <w:rPr>
          <w:rFonts w:ascii="Cavolini" w:eastAsia="Times New Roman" w:hAnsi="Cavolini" w:cs="Cavolini"/>
          <w:b/>
          <w:bCs/>
          <w:kern w:val="0"/>
          <w:sz w:val="72"/>
          <w:szCs w:val="72"/>
          <w:u w:val="single"/>
          <w:lang w:eastAsia="fr-FR"/>
          <w14:ligatures w14:val="none"/>
        </w:rPr>
      </w:pPr>
      <w:r>
        <w:rPr>
          <w:rFonts w:ascii="Times New Roman" w:eastAsia="Times New Roman" w:hAnsi="Times New Roman" w:cs="Times New Roman"/>
          <w:b/>
          <w:bCs/>
          <w:kern w:val="0"/>
          <w:sz w:val="72"/>
          <w:szCs w:val="72"/>
          <w:lang w:eastAsia="fr-FR"/>
          <w14:ligatures w14:val="none"/>
        </w:rPr>
        <w:t xml:space="preserve">   </w:t>
      </w:r>
      <w:r w:rsidRPr="00762E58">
        <w:rPr>
          <w:rFonts w:ascii="Cavolini" w:eastAsia="Times New Roman" w:hAnsi="Cavolini" w:cs="Cavolini"/>
          <w:b/>
          <w:bCs/>
          <w:color w:val="156082" w:themeColor="accent1"/>
          <w:kern w:val="0"/>
          <w:sz w:val="72"/>
          <w:szCs w:val="72"/>
          <w:u w:val="single"/>
          <w:lang w:eastAsia="fr-FR"/>
          <w14:ligatures w14:val="none"/>
        </w:rPr>
        <w:t>RAPPORT RSE 2025</w:t>
      </w:r>
    </w:p>
    <w:p w14:paraId="1DA40962" w14:textId="3E242176" w:rsidR="00EF136A" w:rsidRDefault="00762E58" w:rsidP="00EF136A">
      <w:pPr>
        <w:spacing w:before="100" w:beforeAutospacing="1" w:after="100" w:afterAutospacing="1" w:line="240" w:lineRule="auto"/>
        <w:outlineLvl w:val="1"/>
        <w:rPr>
          <w:rFonts w:ascii="Times New Roman" w:eastAsia="Times New Roman" w:hAnsi="Times New Roman" w:cs="Times New Roman"/>
          <w:b/>
          <w:bCs/>
          <w:kern w:val="0"/>
          <w:sz w:val="36"/>
          <w:szCs w:val="36"/>
          <w:lang w:eastAsia="fr-FR"/>
          <w14:ligatures w14:val="none"/>
        </w:rPr>
      </w:pPr>
      <w:r>
        <w:rPr>
          <w:rFonts w:ascii="Times New Roman" w:eastAsia="Times New Roman" w:hAnsi="Times New Roman" w:cs="Times New Roman"/>
          <w:b/>
          <w:bCs/>
          <w:noProof/>
          <w:color w:val="EE0000"/>
          <w:kern w:val="0"/>
          <w:sz w:val="36"/>
          <w:szCs w:val="36"/>
          <w:lang w:eastAsia="fr-FR"/>
          <w14:ligatures w14:val="none"/>
        </w:rPr>
        <w:drawing>
          <wp:anchor distT="0" distB="0" distL="114300" distR="114300" simplePos="0" relativeHeight="251658240" behindDoc="1" locked="0" layoutInCell="1" allowOverlap="1" wp14:anchorId="18E64956" wp14:editId="156088F4">
            <wp:simplePos x="0" y="0"/>
            <wp:positionH relativeFrom="column">
              <wp:posOffset>-585470</wp:posOffset>
            </wp:positionH>
            <wp:positionV relativeFrom="paragraph">
              <wp:posOffset>309245</wp:posOffset>
            </wp:positionV>
            <wp:extent cx="6930390" cy="6009640"/>
            <wp:effectExtent l="0" t="0" r="3810" b="0"/>
            <wp:wrapTight wrapText="bothSides">
              <wp:wrapPolygon edited="0">
                <wp:start x="0" y="0"/>
                <wp:lineTo x="0" y="21500"/>
                <wp:lineTo x="21553" y="21500"/>
                <wp:lineTo x="21553" y="0"/>
                <wp:lineTo x="0" y="0"/>
              </wp:wrapPolygon>
            </wp:wrapTight>
            <wp:docPr id="17572977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0390" cy="6009640"/>
                    </a:xfrm>
                    <a:prstGeom prst="rect">
                      <a:avLst/>
                    </a:prstGeom>
                    <a:noFill/>
                  </pic:spPr>
                </pic:pic>
              </a:graphicData>
            </a:graphic>
            <wp14:sizeRelH relativeFrom="margin">
              <wp14:pctWidth>0</wp14:pctWidth>
            </wp14:sizeRelH>
            <wp14:sizeRelV relativeFrom="margin">
              <wp14:pctHeight>0</wp14:pctHeight>
            </wp14:sizeRelV>
          </wp:anchor>
        </w:drawing>
      </w:r>
    </w:p>
    <w:p w14:paraId="2012EBAD" w14:textId="17C5EA80" w:rsidR="00EF136A" w:rsidRDefault="00EF136A" w:rsidP="00EF136A">
      <w:pPr>
        <w:spacing w:before="100" w:beforeAutospacing="1" w:after="100" w:afterAutospacing="1" w:line="240" w:lineRule="auto"/>
        <w:outlineLvl w:val="1"/>
        <w:rPr>
          <w:rFonts w:ascii="Times New Roman" w:eastAsia="Times New Roman" w:hAnsi="Times New Roman" w:cs="Times New Roman"/>
          <w:b/>
          <w:bCs/>
          <w:color w:val="EE0000"/>
          <w:kern w:val="0"/>
          <w:sz w:val="36"/>
          <w:szCs w:val="36"/>
          <w:lang w:eastAsia="fr-FR"/>
          <w14:ligatures w14:val="none"/>
        </w:rPr>
      </w:pPr>
    </w:p>
    <w:p w14:paraId="732BE0BE" w14:textId="793A3419" w:rsidR="00762E58" w:rsidRDefault="00762E58" w:rsidP="00EF136A">
      <w:pPr>
        <w:spacing w:before="100" w:beforeAutospacing="1" w:after="100" w:afterAutospacing="1" w:line="240" w:lineRule="auto"/>
        <w:outlineLvl w:val="1"/>
        <w:rPr>
          <w:rFonts w:ascii="Times New Roman" w:eastAsia="Times New Roman" w:hAnsi="Times New Roman" w:cs="Times New Roman"/>
          <w:b/>
          <w:bCs/>
          <w:color w:val="EE0000"/>
          <w:kern w:val="0"/>
          <w:sz w:val="36"/>
          <w:szCs w:val="36"/>
          <w:lang w:eastAsia="fr-FR"/>
          <w14:ligatures w14:val="none"/>
        </w:rPr>
      </w:pPr>
    </w:p>
    <w:p w14:paraId="0F0704D3" w14:textId="0C073397" w:rsidR="00762E58" w:rsidRDefault="00762E58" w:rsidP="00EF136A">
      <w:pPr>
        <w:spacing w:before="100" w:beforeAutospacing="1" w:after="100" w:afterAutospacing="1" w:line="240" w:lineRule="auto"/>
        <w:outlineLvl w:val="1"/>
        <w:rPr>
          <w:rFonts w:ascii="Times New Roman" w:eastAsia="Times New Roman" w:hAnsi="Times New Roman" w:cs="Times New Roman"/>
          <w:b/>
          <w:bCs/>
          <w:color w:val="EE0000"/>
          <w:kern w:val="0"/>
          <w:sz w:val="36"/>
          <w:szCs w:val="36"/>
          <w:lang w:eastAsia="fr-FR"/>
          <w14:ligatures w14:val="none"/>
        </w:rPr>
      </w:pPr>
    </w:p>
    <w:p w14:paraId="07FE0CEF" w14:textId="56587C97" w:rsidR="00762E58" w:rsidRPr="00EE7AA0" w:rsidRDefault="00762E58" w:rsidP="00EF136A">
      <w:pPr>
        <w:spacing w:before="100" w:beforeAutospacing="1" w:after="100" w:afterAutospacing="1" w:line="240" w:lineRule="auto"/>
        <w:outlineLvl w:val="1"/>
        <w:rPr>
          <w:rFonts w:ascii="Times New Roman" w:eastAsia="Times New Roman" w:hAnsi="Times New Roman" w:cs="Times New Roman"/>
          <w:b/>
          <w:bCs/>
          <w:color w:val="EE0000"/>
          <w:kern w:val="0"/>
          <w:sz w:val="36"/>
          <w:szCs w:val="36"/>
          <w:lang w:eastAsia="fr-FR"/>
          <w14:ligatures w14:val="none"/>
        </w:rPr>
      </w:pPr>
    </w:p>
    <w:p w14:paraId="62EA8349" w14:textId="704716D5" w:rsidR="000B34DA" w:rsidRPr="000B34DA" w:rsidRDefault="000B34DA" w:rsidP="000B34DA">
      <w:pPr>
        <w:pStyle w:val="Paragraphedeliste"/>
        <w:numPr>
          <w:ilvl w:val="0"/>
          <w:numId w:val="23"/>
        </w:numPr>
        <w:spacing w:before="100" w:beforeAutospacing="1" w:after="100" w:afterAutospacing="1" w:line="240" w:lineRule="auto"/>
        <w:outlineLvl w:val="1"/>
        <w:rPr>
          <w:rFonts w:ascii="Cavolini" w:eastAsia="Times New Roman" w:hAnsi="Cavolini" w:cs="Cavolini"/>
          <w:b/>
          <w:bCs/>
          <w:color w:val="156082" w:themeColor="accent1"/>
          <w:kern w:val="0"/>
          <w:sz w:val="24"/>
          <w:szCs w:val="24"/>
          <w:u w:val="single"/>
          <w:lang w:eastAsia="fr-FR"/>
          <w14:ligatures w14:val="none"/>
        </w:rPr>
      </w:pPr>
      <w:r>
        <w:rPr>
          <w:rFonts w:ascii="Cavolini" w:eastAsia="Times New Roman" w:hAnsi="Cavolini" w:cs="Cavolini"/>
          <w:b/>
          <w:bCs/>
          <w:noProof/>
          <w:color w:val="156082" w:themeColor="accent1"/>
          <w:kern w:val="0"/>
          <w:sz w:val="24"/>
          <w:szCs w:val="24"/>
          <w:u w:val="single"/>
          <w:lang w:eastAsia="fr-FR"/>
          <w14:ligatures w14:val="none"/>
        </w:rPr>
        <w:drawing>
          <wp:anchor distT="0" distB="0" distL="114300" distR="114300" simplePos="0" relativeHeight="251659264" behindDoc="1" locked="0" layoutInCell="1" allowOverlap="1" wp14:anchorId="6CDBCDC2" wp14:editId="648F7554">
            <wp:simplePos x="0" y="0"/>
            <wp:positionH relativeFrom="column">
              <wp:posOffset>719455</wp:posOffset>
            </wp:positionH>
            <wp:positionV relativeFrom="paragraph">
              <wp:posOffset>372745</wp:posOffset>
            </wp:positionV>
            <wp:extent cx="4448175" cy="1685290"/>
            <wp:effectExtent l="0" t="0" r="9525" b="0"/>
            <wp:wrapTopAndBottom/>
            <wp:docPr id="10637101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175" cy="1685290"/>
                    </a:xfrm>
                    <a:prstGeom prst="rect">
                      <a:avLst/>
                    </a:prstGeom>
                    <a:noFill/>
                  </pic:spPr>
                </pic:pic>
              </a:graphicData>
            </a:graphic>
            <wp14:sizeRelH relativeFrom="margin">
              <wp14:pctWidth>0</wp14:pctWidth>
            </wp14:sizeRelH>
            <wp14:sizeRelV relativeFrom="margin">
              <wp14:pctHeight>0</wp14:pctHeight>
            </wp14:sizeRelV>
          </wp:anchor>
        </w:drawing>
      </w:r>
      <w:r w:rsidR="00EF136A" w:rsidRPr="000B34DA">
        <w:rPr>
          <w:rFonts w:ascii="Cavolini" w:eastAsia="Times New Roman" w:hAnsi="Cavolini" w:cs="Cavolini"/>
          <w:b/>
          <w:bCs/>
          <w:color w:val="156082" w:themeColor="accent1"/>
          <w:kern w:val="0"/>
          <w:sz w:val="24"/>
          <w:szCs w:val="24"/>
          <w:u w:val="single"/>
          <w:lang w:eastAsia="fr-FR"/>
          <w14:ligatures w14:val="none"/>
        </w:rPr>
        <w:t>Présentation de l’entreprise</w:t>
      </w:r>
    </w:p>
    <w:p w14:paraId="607AAF55" w14:textId="48827B91"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La </w:t>
      </w:r>
      <w:r w:rsidRPr="00762E58">
        <w:rPr>
          <w:rFonts w:ascii="Cavolini" w:eastAsia="Times New Roman" w:hAnsi="Cavolini" w:cs="Cavolini"/>
          <w:b/>
          <w:bCs/>
          <w:kern w:val="0"/>
          <w:sz w:val="20"/>
          <w:szCs w:val="20"/>
          <w:lang w:eastAsia="fr-FR"/>
          <w14:ligatures w14:val="none"/>
        </w:rPr>
        <w:t>Nouvelle Manufacture Bourguignonne de Plastique (NMBP)</w:t>
      </w:r>
      <w:r w:rsidRPr="00762E58">
        <w:rPr>
          <w:rFonts w:ascii="Cavolini" w:eastAsia="Times New Roman" w:hAnsi="Cavolini" w:cs="Cavolini"/>
          <w:kern w:val="0"/>
          <w:sz w:val="20"/>
          <w:szCs w:val="20"/>
          <w:lang w:eastAsia="fr-FR"/>
          <w14:ligatures w14:val="none"/>
        </w:rPr>
        <w:t xml:space="preserve"> est un acteur majeur du secteur de la plasturgie, implanté à </w:t>
      </w:r>
      <w:r w:rsidRPr="00762E58">
        <w:rPr>
          <w:rFonts w:ascii="Cavolini" w:eastAsia="Times New Roman" w:hAnsi="Cavolini" w:cs="Cavolini"/>
          <w:b/>
          <w:bCs/>
          <w:kern w:val="0"/>
          <w:sz w:val="20"/>
          <w:szCs w:val="20"/>
          <w:lang w:eastAsia="fr-FR"/>
          <w14:ligatures w14:val="none"/>
        </w:rPr>
        <w:t>Saint-Apollinaire</w:t>
      </w:r>
      <w:r w:rsidRPr="00762E58">
        <w:rPr>
          <w:rFonts w:ascii="Cavolini" w:eastAsia="Times New Roman" w:hAnsi="Cavolini" w:cs="Cavolini"/>
          <w:kern w:val="0"/>
          <w:sz w:val="20"/>
          <w:szCs w:val="20"/>
          <w:lang w:eastAsia="fr-FR"/>
          <w14:ligatures w14:val="none"/>
        </w:rPr>
        <w:t>. Depuis sa création, NMBP s’est spécialisée dans la conception et la production de produits plastiques de haute qualité, destinés à divers secteurs industriels et de consommation.</w:t>
      </w:r>
    </w:p>
    <w:p w14:paraId="5DA549DC"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L’entreprise emploie, au 31 décembre 2025, </w:t>
      </w:r>
      <w:r w:rsidRPr="00762E58">
        <w:rPr>
          <w:rFonts w:ascii="Cavolini" w:eastAsia="Times New Roman" w:hAnsi="Cavolini" w:cs="Cavolini"/>
          <w:b/>
          <w:bCs/>
          <w:kern w:val="0"/>
          <w:sz w:val="20"/>
          <w:szCs w:val="20"/>
          <w:lang w:eastAsia="fr-FR"/>
          <w14:ligatures w14:val="none"/>
        </w:rPr>
        <w:t>47 collaborateurs</w:t>
      </w:r>
      <w:r w:rsidRPr="00762E58">
        <w:rPr>
          <w:rFonts w:ascii="Cavolini" w:eastAsia="Times New Roman" w:hAnsi="Cavolini" w:cs="Cavolini"/>
          <w:kern w:val="0"/>
          <w:sz w:val="20"/>
          <w:szCs w:val="20"/>
          <w:lang w:eastAsia="fr-FR"/>
          <w14:ligatures w14:val="none"/>
        </w:rPr>
        <w:t xml:space="preserve">, représentant </w:t>
      </w:r>
      <w:r w:rsidRPr="00762E58">
        <w:rPr>
          <w:rFonts w:ascii="Cavolini" w:eastAsia="Times New Roman" w:hAnsi="Cavolini" w:cs="Cavolini"/>
          <w:b/>
          <w:bCs/>
          <w:kern w:val="0"/>
          <w:sz w:val="20"/>
          <w:szCs w:val="20"/>
          <w:lang w:eastAsia="fr-FR"/>
          <w14:ligatures w14:val="none"/>
        </w:rPr>
        <w:t>45,4 équivalents temps plein (ETP)</w:t>
      </w:r>
      <w:r w:rsidRPr="00762E58">
        <w:rPr>
          <w:rFonts w:ascii="Cavolini" w:eastAsia="Times New Roman" w:hAnsi="Cavolini" w:cs="Cavolini"/>
          <w:kern w:val="0"/>
          <w:sz w:val="20"/>
          <w:szCs w:val="20"/>
          <w:lang w:eastAsia="fr-FR"/>
          <w14:ligatures w14:val="none"/>
        </w:rPr>
        <w:t>, et fait appel ponctuellement à des stagiaires, alternants et intérimaires pour accompagner ses activités. NMBP privilégie la proximité et la responsabilité sociale dans ses relations avec ses collaborateurs, partenaires et fournisseurs.</w:t>
      </w:r>
    </w:p>
    <w:p w14:paraId="290F7209"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NMBP s’inscrit dans une démarche </w:t>
      </w:r>
      <w:r w:rsidRPr="00762E58">
        <w:rPr>
          <w:rFonts w:ascii="Cavolini" w:eastAsia="Times New Roman" w:hAnsi="Cavolini" w:cs="Cavolini"/>
          <w:b/>
          <w:bCs/>
          <w:kern w:val="0"/>
          <w:sz w:val="20"/>
          <w:szCs w:val="20"/>
          <w:lang w:eastAsia="fr-FR"/>
          <w14:ligatures w14:val="none"/>
        </w:rPr>
        <w:t>Responsabilité Sociétale des Entreprises (RSE)</w:t>
      </w:r>
      <w:r w:rsidRPr="00762E58">
        <w:rPr>
          <w:rFonts w:ascii="Cavolini" w:eastAsia="Times New Roman" w:hAnsi="Cavolini" w:cs="Cavolini"/>
          <w:kern w:val="0"/>
          <w:sz w:val="20"/>
          <w:szCs w:val="20"/>
          <w:lang w:eastAsia="fr-FR"/>
          <w14:ligatures w14:val="none"/>
        </w:rPr>
        <w:t xml:space="preserve"> structurée et intégrée à sa stratégie globale. L’entreprise a adopté une politique </w:t>
      </w:r>
      <w:r w:rsidRPr="00762E58">
        <w:rPr>
          <w:rFonts w:ascii="Cavolini" w:eastAsia="Times New Roman" w:hAnsi="Cavolini" w:cs="Cavolini"/>
          <w:b/>
          <w:bCs/>
          <w:kern w:val="0"/>
          <w:sz w:val="20"/>
          <w:szCs w:val="20"/>
          <w:lang w:eastAsia="fr-FR"/>
          <w14:ligatures w14:val="none"/>
        </w:rPr>
        <w:t>« Tolérance zéro »</w:t>
      </w:r>
      <w:r w:rsidRPr="00762E58">
        <w:rPr>
          <w:rFonts w:ascii="Cavolini" w:eastAsia="Times New Roman" w:hAnsi="Cavolini" w:cs="Cavolini"/>
          <w:kern w:val="0"/>
          <w:sz w:val="20"/>
          <w:szCs w:val="20"/>
          <w:lang w:eastAsia="fr-FR"/>
          <w14:ligatures w14:val="none"/>
        </w:rPr>
        <w:t xml:space="preserve"> vis-à-vis de la corruption, de la fraude et du harcèlement, et s’engage à promouvoir la santé, la sécurité, la diversité, la protection de l’environnement et les achats responsables.</w:t>
      </w:r>
    </w:p>
    <w:p w14:paraId="50969970" w14:textId="60C903ED"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La gouvernance de l’entreprise est centrée sur </w:t>
      </w:r>
      <w:r w:rsidRPr="00762E58">
        <w:rPr>
          <w:rFonts w:ascii="Cavolini" w:eastAsia="Times New Roman" w:hAnsi="Cavolini" w:cs="Cavolini"/>
          <w:b/>
          <w:bCs/>
          <w:kern w:val="0"/>
          <w:sz w:val="20"/>
          <w:szCs w:val="20"/>
          <w:lang w:eastAsia="fr-FR"/>
          <w14:ligatures w14:val="none"/>
        </w:rPr>
        <w:t>la transparence et l’intégrité</w:t>
      </w:r>
      <w:r w:rsidRPr="00762E58">
        <w:rPr>
          <w:rFonts w:ascii="Cavolini" w:eastAsia="Times New Roman" w:hAnsi="Cavolini" w:cs="Cavolini"/>
          <w:kern w:val="0"/>
          <w:sz w:val="20"/>
          <w:szCs w:val="20"/>
          <w:lang w:eastAsia="fr-FR"/>
          <w14:ligatures w14:val="none"/>
        </w:rPr>
        <w:t xml:space="preserve">, avec une direction qui pilote directement les initiatives RSE, en collaboration avec le service Qualité, les Ressources Humaines, le service Production, la </w:t>
      </w:r>
      <w:proofErr w:type="spellStart"/>
      <w:r w:rsidRPr="00762E58">
        <w:rPr>
          <w:rFonts w:ascii="Cavolini" w:eastAsia="Times New Roman" w:hAnsi="Cavolini" w:cs="Cavolini"/>
          <w:kern w:val="0"/>
          <w:sz w:val="20"/>
          <w:szCs w:val="20"/>
          <w:lang w:eastAsia="fr-FR"/>
          <w14:ligatures w14:val="none"/>
        </w:rPr>
        <w:t>Supply</w:t>
      </w:r>
      <w:proofErr w:type="spellEnd"/>
      <w:r w:rsidRPr="00762E58">
        <w:rPr>
          <w:rFonts w:ascii="Cavolini" w:eastAsia="Times New Roman" w:hAnsi="Cavolini" w:cs="Cavolini"/>
          <w:kern w:val="0"/>
          <w:sz w:val="20"/>
          <w:szCs w:val="20"/>
          <w:lang w:eastAsia="fr-FR"/>
          <w14:ligatures w14:val="none"/>
        </w:rPr>
        <w:t xml:space="preserve"> Chain et le Comité de Direction. Cette organisation permet à NMBP de mettre en œuvre de manière efficace ses procédures de prévention, de suivi et d’amélioration continue dans tous les domaines RSE.</w:t>
      </w:r>
    </w:p>
    <w:p w14:paraId="3C89332E" w14:textId="59080559" w:rsidR="00EF136A"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Enfin, NMBP attache une importance particulière à la </w:t>
      </w:r>
      <w:r w:rsidRPr="00762E58">
        <w:rPr>
          <w:rFonts w:ascii="Cavolini" w:eastAsia="Times New Roman" w:hAnsi="Cavolini" w:cs="Cavolini"/>
          <w:b/>
          <w:bCs/>
          <w:kern w:val="0"/>
          <w:sz w:val="20"/>
          <w:szCs w:val="20"/>
          <w:lang w:eastAsia="fr-FR"/>
          <w14:ligatures w14:val="none"/>
        </w:rPr>
        <w:t>traçabilité de ses produits</w:t>
      </w:r>
      <w:r w:rsidRPr="00762E58">
        <w:rPr>
          <w:rFonts w:ascii="Cavolini" w:eastAsia="Times New Roman" w:hAnsi="Cavolini" w:cs="Cavolini"/>
          <w:kern w:val="0"/>
          <w:sz w:val="20"/>
          <w:szCs w:val="20"/>
          <w:lang w:eastAsia="fr-FR"/>
          <w14:ligatures w14:val="none"/>
        </w:rPr>
        <w:t xml:space="preserve">, à la </w:t>
      </w:r>
      <w:r w:rsidRPr="00762E58">
        <w:rPr>
          <w:rFonts w:ascii="Cavolini" w:eastAsia="Times New Roman" w:hAnsi="Cavolini" w:cs="Cavolini"/>
          <w:b/>
          <w:bCs/>
          <w:kern w:val="0"/>
          <w:sz w:val="20"/>
          <w:szCs w:val="20"/>
          <w:lang w:eastAsia="fr-FR"/>
          <w14:ligatures w14:val="none"/>
        </w:rPr>
        <w:t>qualité alimentaire et à la sécurité des consommateurs</w:t>
      </w:r>
      <w:r w:rsidRPr="00762E58">
        <w:rPr>
          <w:rFonts w:ascii="Cavolini" w:eastAsia="Times New Roman" w:hAnsi="Cavolini" w:cs="Cavolini"/>
          <w:kern w:val="0"/>
          <w:sz w:val="20"/>
          <w:szCs w:val="20"/>
          <w:lang w:eastAsia="fr-FR"/>
          <w14:ligatures w14:val="none"/>
        </w:rPr>
        <w:t>, ainsi qu’au respect des réglementations locales et internationales, consolidant ainsi sa réputation d’entreprise responsable et fiable.</w:t>
      </w:r>
    </w:p>
    <w:p w14:paraId="76071A48" w14:textId="714827E9" w:rsidR="000B34DA" w:rsidRPr="00762E58" w:rsidRDefault="000B34D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Pr>
          <w:rFonts w:ascii="Cavolini" w:eastAsia="Times New Roman" w:hAnsi="Cavolini" w:cs="Cavolini"/>
          <w:noProof/>
          <w:kern w:val="0"/>
          <w:sz w:val="20"/>
          <w:szCs w:val="20"/>
          <w:lang w:eastAsia="fr-FR"/>
          <w14:ligatures w14:val="none"/>
        </w:rPr>
        <w:drawing>
          <wp:anchor distT="0" distB="0" distL="114300" distR="114300" simplePos="0" relativeHeight="251660288" behindDoc="1" locked="0" layoutInCell="1" allowOverlap="1" wp14:anchorId="47C026EE" wp14:editId="76575C02">
            <wp:simplePos x="0" y="0"/>
            <wp:positionH relativeFrom="column">
              <wp:posOffset>1033780</wp:posOffset>
            </wp:positionH>
            <wp:positionV relativeFrom="paragraph">
              <wp:posOffset>364490</wp:posOffset>
            </wp:positionV>
            <wp:extent cx="3305175" cy="1054100"/>
            <wp:effectExtent l="0" t="0" r="9525" b="0"/>
            <wp:wrapTopAndBottom/>
            <wp:docPr id="7121328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054100"/>
                    </a:xfrm>
                    <a:prstGeom prst="rect">
                      <a:avLst/>
                    </a:prstGeom>
                    <a:noFill/>
                  </pic:spPr>
                </pic:pic>
              </a:graphicData>
            </a:graphic>
            <wp14:sizeRelH relativeFrom="margin">
              <wp14:pctWidth>0</wp14:pctWidth>
            </wp14:sizeRelH>
            <wp14:sizeRelV relativeFrom="margin">
              <wp14:pctHeight>0</wp14:pctHeight>
            </wp14:sizeRelV>
          </wp:anchor>
        </w:drawing>
      </w:r>
    </w:p>
    <w:p w14:paraId="0E0C9EEF" w14:textId="05803D3D" w:rsidR="00EF136A" w:rsidRPr="00762E58" w:rsidRDefault="00EF136A" w:rsidP="00EF136A">
      <w:pPr>
        <w:spacing w:before="100" w:beforeAutospacing="1" w:after="100" w:afterAutospacing="1" w:line="240" w:lineRule="auto"/>
        <w:outlineLvl w:val="1"/>
        <w:rPr>
          <w:rFonts w:ascii="Cavolini" w:eastAsia="Times New Roman" w:hAnsi="Cavolini" w:cs="Cavolini"/>
          <w:b/>
          <w:bCs/>
          <w:color w:val="156082" w:themeColor="accent1"/>
          <w:kern w:val="0"/>
          <w:sz w:val="24"/>
          <w:szCs w:val="24"/>
          <w:u w:val="single"/>
          <w:lang w:eastAsia="fr-FR"/>
          <w14:ligatures w14:val="none"/>
        </w:rPr>
      </w:pPr>
      <w:r w:rsidRPr="00762E58">
        <w:rPr>
          <w:rFonts w:ascii="Cavolini" w:eastAsia="Times New Roman" w:hAnsi="Cavolini" w:cs="Cavolini"/>
          <w:b/>
          <w:bCs/>
          <w:color w:val="156082" w:themeColor="accent1"/>
          <w:kern w:val="0"/>
          <w:sz w:val="24"/>
          <w:szCs w:val="24"/>
          <w:u w:val="single"/>
          <w:lang w:eastAsia="fr-FR"/>
          <w14:ligatures w14:val="none"/>
        </w:rPr>
        <w:lastRenderedPageBreak/>
        <w:t>2. Gouvernance et éthique</w:t>
      </w:r>
    </w:p>
    <w:p w14:paraId="1539E223"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La gouvernance de NMBP repose sur des principes de </w:t>
      </w:r>
      <w:r w:rsidRPr="00762E58">
        <w:rPr>
          <w:rFonts w:ascii="Cavolini" w:eastAsia="Times New Roman" w:hAnsi="Cavolini" w:cs="Cavolini"/>
          <w:b/>
          <w:bCs/>
          <w:kern w:val="0"/>
          <w:sz w:val="20"/>
          <w:szCs w:val="20"/>
          <w:lang w:eastAsia="fr-FR"/>
          <w14:ligatures w14:val="none"/>
        </w:rPr>
        <w:t>transparence, d’intégrité et de responsabilité</w:t>
      </w:r>
      <w:r w:rsidRPr="00762E58">
        <w:rPr>
          <w:rFonts w:ascii="Cavolini" w:eastAsia="Times New Roman" w:hAnsi="Cavolini" w:cs="Cavolini"/>
          <w:kern w:val="0"/>
          <w:sz w:val="20"/>
          <w:szCs w:val="20"/>
          <w:lang w:eastAsia="fr-FR"/>
          <w14:ligatures w14:val="none"/>
        </w:rPr>
        <w:t>, intégrés dans la stratégie de l’entreprise et dans ses relations avec l’ensemble des parties prenantes.</w:t>
      </w:r>
    </w:p>
    <w:p w14:paraId="68A50BBD" w14:textId="77777777" w:rsidR="00EF136A" w:rsidRPr="00762E58"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762E58">
        <w:rPr>
          <w:rFonts w:ascii="Cavolini" w:eastAsia="Times New Roman" w:hAnsi="Cavolini" w:cs="Cavolini"/>
          <w:b/>
          <w:bCs/>
          <w:color w:val="156082" w:themeColor="accent1"/>
          <w:kern w:val="0"/>
          <w:sz w:val="20"/>
          <w:szCs w:val="20"/>
          <w:lang w:eastAsia="fr-FR"/>
          <w14:ligatures w14:val="none"/>
        </w:rPr>
        <w:t>2.1 Politique éthique et anticorruption</w:t>
      </w:r>
    </w:p>
    <w:p w14:paraId="1EC04640"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NMBP a mis en place des mesures strictes pour prévenir toute forme de </w:t>
      </w:r>
      <w:r w:rsidRPr="00762E58">
        <w:rPr>
          <w:rFonts w:ascii="Cavolini" w:eastAsia="Times New Roman" w:hAnsi="Cavolini" w:cs="Cavolini"/>
          <w:b/>
          <w:bCs/>
          <w:kern w:val="0"/>
          <w:sz w:val="20"/>
          <w:szCs w:val="20"/>
          <w:lang w:eastAsia="fr-FR"/>
          <w14:ligatures w14:val="none"/>
        </w:rPr>
        <w:t>corruption, fraude, trafic d’influence, favoritisme ou conflit d’intérêts</w:t>
      </w:r>
      <w:r w:rsidRPr="00762E58">
        <w:rPr>
          <w:rFonts w:ascii="Cavolini" w:eastAsia="Times New Roman" w:hAnsi="Cavolini" w:cs="Cavolini"/>
          <w:kern w:val="0"/>
          <w:sz w:val="20"/>
          <w:szCs w:val="20"/>
          <w:lang w:eastAsia="fr-FR"/>
          <w14:ligatures w14:val="none"/>
        </w:rPr>
        <w:t>. Ces mesures viennent compléter la Charte éthique et la cartographie des risques de corruption, dans le cadre d’une politique « Tolérance zéro ».</w:t>
      </w:r>
    </w:p>
    <w:p w14:paraId="5153D100"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Les actions clés comprennent :</w:t>
      </w:r>
    </w:p>
    <w:p w14:paraId="5A5B84E1" w14:textId="72F9BE6B" w:rsidR="00762E58" w:rsidRPr="004F15C0" w:rsidRDefault="00EF136A" w:rsidP="004F15C0">
      <w:pPr>
        <w:numPr>
          <w:ilvl w:val="0"/>
          <w:numId w:val="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Contrôles internes renforcés et traçabilité des opérations</w:t>
      </w:r>
      <w:r w:rsidRPr="00762E58">
        <w:rPr>
          <w:rFonts w:ascii="Cavolini" w:eastAsia="Times New Roman" w:hAnsi="Cavolini" w:cs="Cavolini"/>
          <w:kern w:val="0"/>
          <w:sz w:val="20"/>
          <w:szCs w:val="20"/>
          <w:lang w:eastAsia="fr-FR"/>
          <w14:ligatures w14:val="none"/>
        </w:rPr>
        <w:t xml:space="preserve"> : validation hiérarchique obligatoire pour les dépenses supérieures à un seuil défini, double validation des paiements fournisseurs, vérification de cohérence </w:t>
      </w:r>
    </w:p>
    <w:p w14:paraId="1785DF58" w14:textId="665D6858" w:rsidR="00EF136A" w:rsidRPr="00762E58" w:rsidRDefault="00762E58" w:rsidP="00EF136A">
      <w:pPr>
        <w:numPr>
          <w:ilvl w:val="0"/>
          <w:numId w:val="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Entre</w:t>
      </w:r>
      <w:r w:rsidR="00EF136A" w:rsidRPr="00762E58">
        <w:rPr>
          <w:rFonts w:ascii="Cavolini" w:eastAsia="Times New Roman" w:hAnsi="Cavolini" w:cs="Cavolini"/>
          <w:kern w:val="0"/>
          <w:sz w:val="20"/>
          <w:szCs w:val="20"/>
          <w:lang w:eastAsia="fr-FR"/>
          <w14:ligatures w14:val="none"/>
        </w:rPr>
        <w:t xml:space="preserve"> commande, réception, facture et paiement, et archivage sécurisé des documents. </w:t>
      </w:r>
    </w:p>
    <w:p w14:paraId="05D5ED7E" w14:textId="77777777" w:rsidR="00EF136A" w:rsidRPr="00762E58" w:rsidRDefault="00EF136A" w:rsidP="00EF136A">
      <w:pPr>
        <w:numPr>
          <w:ilvl w:val="0"/>
          <w:numId w:val="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Séparation des tâches</w:t>
      </w:r>
      <w:r w:rsidRPr="00762E58">
        <w:rPr>
          <w:rFonts w:ascii="Cavolini" w:eastAsia="Times New Roman" w:hAnsi="Cavolini" w:cs="Cavolini"/>
          <w:kern w:val="0"/>
          <w:sz w:val="20"/>
          <w:szCs w:val="20"/>
          <w:lang w:eastAsia="fr-FR"/>
          <w14:ligatures w14:val="none"/>
        </w:rPr>
        <w:t xml:space="preserve"> : fonctions de commande, réception, facturation et paiement confiées à des personnes distinctes, avec contrôles croisés sur les opérations sensibles. </w:t>
      </w:r>
    </w:p>
    <w:p w14:paraId="7B04A8ED" w14:textId="04D9B4EB" w:rsidR="00EF136A" w:rsidRPr="00762E58" w:rsidRDefault="00762E58" w:rsidP="00EF136A">
      <w:pPr>
        <w:numPr>
          <w:ilvl w:val="0"/>
          <w:numId w:val="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Clauses anticorruptions</w:t>
      </w:r>
      <w:r w:rsidR="00EF136A" w:rsidRPr="00762E58">
        <w:rPr>
          <w:rFonts w:ascii="Cavolini" w:eastAsia="Times New Roman" w:hAnsi="Cavolini" w:cs="Cavolini"/>
          <w:b/>
          <w:bCs/>
          <w:kern w:val="0"/>
          <w:sz w:val="20"/>
          <w:szCs w:val="20"/>
          <w:lang w:eastAsia="fr-FR"/>
          <w14:ligatures w14:val="none"/>
        </w:rPr>
        <w:t xml:space="preserve"> dans les contrats</w:t>
      </w:r>
      <w:r w:rsidR="00EF136A" w:rsidRPr="00762E58">
        <w:rPr>
          <w:rFonts w:ascii="Cavolini" w:eastAsia="Times New Roman" w:hAnsi="Cavolini" w:cs="Cavolini"/>
          <w:kern w:val="0"/>
          <w:sz w:val="20"/>
          <w:szCs w:val="20"/>
          <w:lang w:eastAsia="fr-FR"/>
          <w14:ligatures w14:val="none"/>
        </w:rPr>
        <w:t xml:space="preserve"> : engagement des partenaires au respect de la charte éthique et droit de résiliation en cas de non-respect. </w:t>
      </w:r>
    </w:p>
    <w:p w14:paraId="7CD1881A" w14:textId="77777777" w:rsidR="00EF136A" w:rsidRPr="00762E58" w:rsidRDefault="00EF136A" w:rsidP="00EF136A">
      <w:pPr>
        <w:numPr>
          <w:ilvl w:val="0"/>
          <w:numId w:val="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Revue périodique et amélioration continue</w:t>
      </w:r>
      <w:r w:rsidRPr="00762E58">
        <w:rPr>
          <w:rFonts w:ascii="Cavolini" w:eastAsia="Times New Roman" w:hAnsi="Cavolini" w:cs="Cavolini"/>
          <w:kern w:val="0"/>
          <w:sz w:val="20"/>
          <w:szCs w:val="20"/>
          <w:lang w:eastAsia="fr-FR"/>
          <w14:ligatures w14:val="none"/>
        </w:rPr>
        <w:t xml:space="preserve"> : révision annuelle de la cartographie des risques, analyse des incidents, et mise à jour des procédures selon l’évolution réglementaire. </w:t>
      </w:r>
    </w:p>
    <w:p w14:paraId="0D5F3EF7" w14:textId="77777777" w:rsidR="00EF136A" w:rsidRPr="00762E58"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762E58">
        <w:rPr>
          <w:rFonts w:ascii="Cavolini" w:eastAsia="Times New Roman" w:hAnsi="Cavolini" w:cs="Cavolini"/>
          <w:b/>
          <w:bCs/>
          <w:color w:val="156082" w:themeColor="accent1"/>
          <w:kern w:val="0"/>
          <w:sz w:val="20"/>
          <w:szCs w:val="20"/>
          <w:lang w:eastAsia="fr-FR"/>
          <w14:ligatures w14:val="none"/>
        </w:rPr>
        <w:t>2.2 Indicateurs éthiques 2025</w:t>
      </w:r>
    </w:p>
    <w:p w14:paraId="19FF4467"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Les indicateurs éthiques reflètent l’efficacité des dispositifs mis en place :</w:t>
      </w:r>
    </w:p>
    <w:p w14:paraId="70EFDF82" w14:textId="77777777" w:rsidR="00EF136A" w:rsidRPr="00762E58" w:rsidRDefault="00EF136A" w:rsidP="00EF136A">
      <w:pPr>
        <w:numPr>
          <w:ilvl w:val="0"/>
          <w:numId w:val="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d’incidents de corruption confirmés</w:t>
      </w:r>
      <w:r w:rsidRPr="00762E58">
        <w:rPr>
          <w:rFonts w:ascii="Cavolini" w:eastAsia="Times New Roman" w:hAnsi="Cavolini" w:cs="Cavolini"/>
          <w:kern w:val="0"/>
          <w:sz w:val="20"/>
          <w:szCs w:val="20"/>
          <w:lang w:eastAsia="fr-FR"/>
          <w14:ligatures w14:val="none"/>
        </w:rPr>
        <w:t xml:space="preserve"> : 0 </w:t>
      </w:r>
    </w:p>
    <w:p w14:paraId="3D5E71FE" w14:textId="77777777" w:rsidR="00EF136A" w:rsidRPr="00762E58" w:rsidRDefault="00EF136A" w:rsidP="00EF136A">
      <w:pPr>
        <w:numPr>
          <w:ilvl w:val="0"/>
          <w:numId w:val="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procédures d’alerte liées à l’éthique</w:t>
      </w:r>
      <w:r w:rsidRPr="00762E58">
        <w:rPr>
          <w:rFonts w:ascii="Cavolini" w:eastAsia="Times New Roman" w:hAnsi="Cavolini" w:cs="Cavolini"/>
          <w:kern w:val="0"/>
          <w:sz w:val="20"/>
          <w:szCs w:val="20"/>
          <w:lang w:eastAsia="fr-FR"/>
          <w14:ligatures w14:val="none"/>
        </w:rPr>
        <w:t xml:space="preserve"> : 0 </w:t>
      </w:r>
    </w:p>
    <w:p w14:paraId="6B47E92C" w14:textId="77777777" w:rsidR="00EF136A" w:rsidRPr="00762E58" w:rsidRDefault="00EF136A" w:rsidP="00EF136A">
      <w:pPr>
        <w:numPr>
          <w:ilvl w:val="0"/>
          <w:numId w:val="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réclamations clients</w:t>
      </w:r>
      <w:r w:rsidRPr="00762E58">
        <w:rPr>
          <w:rFonts w:ascii="Cavolini" w:eastAsia="Times New Roman" w:hAnsi="Cavolini" w:cs="Cavolini"/>
          <w:kern w:val="0"/>
          <w:sz w:val="20"/>
          <w:szCs w:val="20"/>
          <w:lang w:eastAsia="fr-FR"/>
          <w14:ligatures w14:val="none"/>
        </w:rPr>
        <w:t xml:space="preserve"> : 33 </w:t>
      </w:r>
    </w:p>
    <w:p w14:paraId="40C93D43" w14:textId="77777777" w:rsidR="00EF136A" w:rsidRPr="00762E58" w:rsidRDefault="00EF136A" w:rsidP="00EF136A">
      <w:pPr>
        <w:numPr>
          <w:ilvl w:val="0"/>
          <w:numId w:val="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Coût des réclamations clients</w:t>
      </w:r>
      <w:r w:rsidRPr="00762E58">
        <w:rPr>
          <w:rFonts w:ascii="Cavolini" w:eastAsia="Times New Roman" w:hAnsi="Cavolini" w:cs="Cavolini"/>
          <w:kern w:val="0"/>
          <w:sz w:val="20"/>
          <w:szCs w:val="20"/>
          <w:lang w:eastAsia="fr-FR"/>
          <w14:ligatures w14:val="none"/>
        </w:rPr>
        <w:t xml:space="preserve"> : 5 557 € </w:t>
      </w:r>
    </w:p>
    <w:p w14:paraId="03400BFC" w14:textId="0B9C630C" w:rsidR="00EF136A" w:rsidRDefault="00EF136A" w:rsidP="00EF136A">
      <w:pPr>
        <w:numPr>
          <w:ilvl w:val="0"/>
          <w:numId w:val="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Coût des réclamations clients / chiffre d’affaires production</w:t>
      </w:r>
      <w:r w:rsidRPr="00762E58">
        <w:rPr>
          <w:rFonts w:ascii="Cavolini" w:eastAsia="Times New Roman" w:hAnsi="Cavolini" w:cs="Cavolini"/>
          <w:kern w:val="0"/>
          <w:sz w:val="20"/>
          <w:szCs w:val="20"/>
          <w:lang w:eastAsia="fr-FR"/>
          <w14:ligatures w14:val="none"/>
        </w:rPr>
        <w:t xml:space="preserve"> : 0,05 % </w:t>
      </w:r>
    </w:p>
    <w:p w14:paraId="51CC5AD8" w14:textId="71E57D8B" w:rsidR="004F15C0" w:rsidRPr="00762E58" w:rsidRDefault="004F15C0" w:rsidP="004F15C0">
      <w:pPr>
        <w:spacing w:before="100" w:beforeAutospacing="1" w:after="100" w:afterAutospacing="1" w:line="240" w:lineRule="auto"/>
        <w:ind w:left="720"/>
        <w:rPr>
          <w:rFonts w:ascii="Cavolini" w:eastAsia="Times New Roman" w:hAnsi="Cavolini" w:cs="Cavolini"/>
          <w:kern w:val="0"/>
          <w:sz w:val="20"/>
          <w:szCs w:val="20"/>
          <w:lang w:eastAsia="fr-FR"/>
          <w14:ligatures w14:val="none"/>
        </w:rPr>
      </w:pPr>
      <w:r>
        <w:rPr>
          <w:rFonts w:ascii="Cavolini" w:eastAsia="Times New Roman" w:hAnsi="Cavolini" w:cs="Cavolini"/>
          <w:noProof/>
          <w:kern w:val="0"/>
          <w:sz w:val="20"/>
          <w:szCs w:val="20"/>
          <w:lang w:eastAsia="fr-FR"/>
          <w14:ligatures w14:val="none"/>
        </w:rPr>
        <w:drawing>
          <wp:inline distT="0" distB="0" distL="0" distR="0" wp14:anchorId="0151FFCA" wp14:editId="18D7D3FC">
            <wp:extent cx="3368040" cy="1884977"/>
            <wp:effectExtent l="0" t="0" r="3810" b="1270"/>
            <wp:docPr id="7310717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291" cy="1886796"/>
                    </a:xfrm>
                    <a:prstGeom prst="rect">
                      <a:avLst/>
                    </a:prstGeom>
                    <a:noFill/>
                  </pic:spPr>
                </pic:pic>
              </a:graphicData>
            </a:graphic>
          </wp:inline>
        </w:drawing>
      </w:r>
    </w:p>
    <w:p w14:paraId="099EF524" w14:textId="33F64C5E" w:rsidR="004F15C0"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lastRenderedPageBreak/>
        <w:t xml:space="preserve">Ces résultats témoignent d’un </w:t>
      </w:r>
      <w:r w:rsidRPr="00762E58">
        <w:rPr>
          <w:rFonts w:ascii="Cavolini" w:eastAsia="Times New Roman" w:hAnsi="Cavolini" w:cs="Cavolini"/>
          <w:b/>
          <w:bCs/>
          <w:kern w:val="0"/>
          <w:sz w:val="20"/>
          <w:szCs w:val="20"/>
          <w:lang w:eastAsia="fr-FR"/>
          <w14:ligatures w14:val="none"/>
        </w:rPr>
        <w:t>niveau élevé de conformité et de fiabilité</w:t>
      </w:r>
      <w:r w:rsidRPr="00762E58">
        <w:rPr>
          <w:rFonts w:ascii="Cavolini" w:eastAsia="Times New Roman" w:hAnsi="Cavolini" w:cs="Cavolini"/>
          <w:kern w:val="0"/>
          <w:sz w:val="20"/>
          <w:szCs w:val="20"/>
          <w:lang w:eastAsia="fr-FR"/>
          <w14:ligatures w14:val="none"/>
        </w:rPr>
        <w:t xml:space="preserve"> dans les opérations de l’entreprise, ainsi que d’une relation saine avec les clients.</w:t>
      </w:r>
    </w:p>
    <w:p w14:paraId="03C53DBF" w14:textId="77777777" w:rsidR="00EF136A" w:rsidRPr="00762E58"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762E58">
        <w:rPr>
          <w:rFonts w:ascii="Cavolini" w:eastAsia="Times New Roman" w:hAnsi="Cavolini" w:cs="Cavolini"/>
          <w:b/>
          <w:bCs/>
          <w:color w:val="156082" w:themeColor="accent1"/>
          <w:kern w:val="0"/>
          <w:sz w:val="20"/>
          <w:szCs w:val="20"/>
          <w:lang w:eastAsia="fr-FR"/>
          <w14:ligatures w14:val="none"/>
        </w:rPr>
        <w:t>2.3 Procédures internes et protection des lanceurs d’alerte</w:t>
      </w:r>
    </w:p>
    <w:p w14:paraId="40DE8142"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NMBP garantit </w:t>
      </w:r>
      <w:r w:rsidRPr="00762E58">
        <w:rPr>
          <w:rFonts w:ascii="Cavolini" w:eastAsia="Times New Roman" w:hAnsi="Cavolini" w:cs="Cavolini"/>
          <w:b/>
          <w:bCs/>
          <w:kern w:val="0"/>
          <w:sz w:val="20"/>
          <w:szCs w:val="20"/>
          <w:lang w:eastAsia="fr-FR"/>
          <w14:ligatures w14:val="none"/>
        </w:rPr>
        <w:t>la sécurité et la confidentialité</w:t>
      </w:r>
      <w:r w:rsidRPr="00762E58">
        <w:rPr>
          <w:rFonts w:ascii="Cavolini" w:eastAsia="Times New Roman" w:hAnsi="Cavolini" w:cs="Cavolini"/>
          <w:kern w:val="0"/>
          <w:sz w:val="20"/>
          <w:szCs w:val="20"/>
          <w:lang w:eastAsia="fr-FR"/>
          <w14:ligatures w14:val="none"/>
        </w:rPr>
        <w:t xml:space="preserve"> de toute personne signalant de bonne foi des faits contraires à l’éthique ou relatifs à des violences (harcèlement, discrimination). Le principe de </w:t>
      </w:r>
      <w:r w:rsidRPr="00762E58">
        <w:rPr>
          <w:rFonts w:ascii="Cavolini" w:eastAsia="Times New Roman" w:hAnsi="Cavolini" w:cs="Cavolini"/>
          <w:b/>
          <w:bCs/>
          <w:kern w:val="0"/>
          <w:sz w:val="20"/>
          <w:szCs w:val="20"/>
          <w:lang w:eastAsia="fr-FR"/>
          <w14:ligatures w14:val="none"/>
        </w:rPr>
        <w:t>non-rétorsion</w:t>
      </w:r>
      <w:r w:rsidRPr="00762E58">
        <w:rPr>
          <w:rFonts w:ascii="Cavolini" w:eastAsia="Times New Roman" w:hAnsi="Cavolini" w:cs="Cavolini"/>
          <w:kern w:val="0"/>
          <w:sz w:val="20"/>
          <w:szCs w:val="20"/>
          <w:lang w:eastAsia="fr-FR"/>
          <w14:ligatures w14:val="none"/>
        </w:rPr>
        <w:t xml:space="preserve"> est strictement appliqué, et toute mesure de représailles fait l’objet de sanctions disciplinaires.</w:t>
      </w:r>
    </w:p>
    <w:p w14:paraId="7F21DFD6" w14:textId="2EB27449" w:rsidR="00BA66A8" w:rsidRPr="000B1A4B" w:rsidRDefault="00EF136A" w:rsidP="000B1A4B">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La direction assure un suivi des signalements via un </w:t>
      </w:r>
      <w:r w:rsidRPr="00762E58">
        <w:rPr>
          <w:rFonts w:ascii="Cavolini" w:eastAsia="Times New Roman" w:hAnsi="Cavolini" w:cs="Cavolini"/>
          <w:b/>
          <w:bCs/>
          <w:kern w:val="0"/>
          <w:sz w:val="20"/>
          <w:szCs w:val="20"/>
          <w:lang w:eastAsia="fr-FR"/>
          <w14:ligatures w14:val="none"/>
        </w:rPr>
        <w:t>Comité d’alerte</w:t>
      </w:r>
      <w:r w:rsidRPr="00762E58">
        <w:rPr>
          <w:rFonts w:ascii="Cavolini" w:eastAsia="Times New Roman" w:hAnsi="Cavolini" w:cs="Cavolini"/>
          <w:kern w:val="0"/>
          <w:sz w:val="20"/>
          <w:szCs w:val="20"/>
          <w:lang w:eastAsia="fr-FR"/>
          <w14:ligatures w14:val="none"/>
        </w:rPr>
        <w:t>, composé de membres du CODIR, de représentants RH et, si nécessaire, d’intervenants externes, pour garantir impartialité et transparence.</w:t>
      </w:r>
    </w:p>
    <w:p w14:paraId="65901909" w14:textId="51C49F58" w:rsidR="00EF136A" w:rsidRPr="00762E58" w:rsidRDefault="00EF136A" w:rsidP="00EF136A">
      <w:pPr>
        <w:spacing w:before="100" w:beforeAutospacing="1" w:after="100" w:afterAutospacing="1" w:line="240" w:lineRule="auto"/>
        <w:outlineLvl w:val="1"/>
        <w:rPr>
          <w:rFonts w:ascii="Cavolini" w:eastAsia="Times New Roman" w:hAnsi="Cavolini" w:cs="Cavolini"/>
          <w:b/>
          <w:bCs/>
          <w:color w:val="156082" w:themeColor="accent1"/>
          <w:kern w:val="0"/>
          <w:sz w:val="20"/>
          <w:szCs w:val="20"/>
          <w:lang w:eastAsia="fr-FR"/>
          <w14:ligatures w14:val="none"/>
        </w:rPr>
      </w:pPr>
      <w:r w:rsidRPr="00762E58">
        <w:rPr>
          <w:rFonts w:ascii="Cavolini" w:eastAsia="Times New Roman" w:hAnsi="Cavolini" w:cs="Cavolini"/>
          <w:b/>
          <w:bCs/>
          <w:color w:val="156082" w:themeColor="accent1"/>
          <w:kern w:val="0"/>
          <w:sz w:val="20"/>
          <w:szCs w:val="20"/>
          <w:lang w:eastAsia="fr-FR"/>
          <w14:ligatures w14:val="none"/>
        </w:rPr>
        <w:t>3. Conditions de travail, dialogue social et sécurité</w:t>
      </w:r>
    </w:p>
    <w:p w14:paraId="5EE13EA1" w14:textId="0F23F3AF" w:rsidR="00BA66A8" w:rsidRPr="000B1A4B" w:rsidRDefault="00EF136A" w:rsidP="000B1A4B">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NMBP place le </w:t>
      </w:r>
      <w:r w:rsidRPr="00762E58">
        <w:rPr>
          <w:rFonts w:ascii="Cavolini" w:eastAsia="Times New Roman" w:hAnsi="Cavolini" w:cs="Cavolini"/>
          <w:b/>
          <w:bCs/>
          <w:kern w:val="0"/>
          <w:sz w:val="20"/>
          <w:szCs w:val="20"/>
          <w:lang w:eastAsia="fr-FR"/>
          <w14:ligatures w14:val="none"/>
        </w:rPr>
        <w:t>bien-être et la sécurité des collaborateurs</w:t>
      </w:r>
      <w:r w:rsidRPr="00762E58">
        <w:rPr>
          <w:rFonts w:ascii="Cavolini" w:eastAsia="Times New Roman" w:hAnsi="Cavolini" w:cs="Cavolini"/>
          <w:kern w:val="0"/>
          <w:sz w:val="20"/>
          <w:szCs w:val="20"/>
          <w:lang w:eastAsia="fr-FR"/>
          <w14:ligatures w14:val="none"/>
        </w:rPr>
        <w:t xml:space="preserve"> au cœur de sa politique RSE, en visant à créer un environnement de travail sûr, inclusif et motivant.</w:t>
      </w:r>
    </w:p>
    <w:p w14:paraId="54FF0DD7" w14:textId="51951206"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3.1 Santé et sécurité au travail</w:t>
      </w:r>
    </w:p>
    <w:p w14:paraId="57C2CD7E" w14:textId="77777777" w:rsidR="00EF136A" w:rsidRPr="00762E58" w:rsidRDefault="00EF136A" w:rsidP="000B34D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La sécurité des employés est une priorité. En 2025, NMBP a poursuivi ses efforts de prévention et de formation en matière de santé et sécurité au travail (SST) :</w:t>
      </w:r>
    </w:p>
    <w:p w14:paraId="67523330" w14:textId="77777777" w:rsidR="00EF136A" w:rsidRPr="00762E58" w:rsidRDefault="00EF136A" w:rsidP="000B34DA">
      <w:pPr>
        <w:numPr>
          <w:ilvl w:val="0"/>
          <w:numId w:val="3"/>
        </w:num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d’accidents avec arrêt de travail</w:t>
      </w:r>
      <w:r w:rsidRPr="00762E58">
        <w:rPr>
          <w:rFonts w:ascii="Cavolini" w:eastAsia="Times New Roman" w:hAnsi="Cavolini" w:cs="Cavolini"/>
          <w:kern w:val="0"/>
          <w:sz w:val="20"/>
          <w:szCs w:val="20"/>
          <w:lang w:eastAsia="fr-FR"/>
          <w14:ligatures w14:val="none"/>
        </w:rPr>
        <w:t xml:space="preserve"> : 2 </w:t>
      </w:r>
    </w:p>
    <w:p w14:paraId="57829F2A" w14:textId="77777777" w:rsidR="00EF136A" w:rsidRPr="00762E58" w:rsidRDefault="00EF136A" w:rsidP="000B34DA">
      <w:pPr>
        <w:numPr>
          <w:ilvl w:val="0"/>
          <w:numId w:val="3"/>
        </w:num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jours perdus dus aux arrêts de travail</w:t>
      </w:r>
      <w:r w:rsidRPr="00762E58">
        <w:rPr>
          <w:rFonts w:ascii="Cavolini" w:eastAsia="Times New Roman" w:hAnsi="Cavolini" w:cs="Cavolini"/>
          <w:kern w:val="0"/>
          <w:sz w:val="20"/>
          <w:szCs w:val="20"/>
          <w:lang w:eastAsia="fr-FR"/>
          <w14:ligatures w14:val="none"/>
        </w:rPr>
        <w:t xml:space="preserve"> : 9 </w:t>
      </w:r>
    </w:p>
    <w:p w14:paraId="4920E938" w14:textId="77777777" w:rsidR="00EF136A" w:rsidRPr="00762E58" w:rsidRDefault="00EF136A" w:rsidP="000B34DA">
      <w:pPr>
        <w:numPr>
          <w:ilvl w:val="0"/>
          <w:numId w:val="3"/>
        </w:num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d’accidents sans arrêt de travail</w:t>
      </w:r>
      <w:r w:rsidRPr="00762E58">
        <w:rPr>
          <w:rFonts w:ascii="Cavolini" w:eastAsia="Times New Roman" w:hAnsi="Cavolini" w:cs="Cavolini"/>
          <w:kern w:val="0"/>
          <w:sz w:val="20"/>
          <w:szCs w:val="20"/>
          <w:lang w:eastAsia="fr-FR"/>
          <w14:ligatures w14:val="none"/>
        </w:rPr>
        <w:t xml:space="preserve"> : 4 </w:t>
      </w:r>
    </w:p>
    <w:p w14:paraId="25D07DA5" w14:textId="0F9A68B7" w:rsidR="000B34DA" w:rsidRPr="004F15C0" w:rsidRDefault="00EF136A" w:rsidP="004F15C0">
      <w:pPr>
        <w:numPr>
          <w:ilvl w:val="0"/>
          <w:numId w:val="3"/>
        </w:num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d’accidents de trajet</w:t>
      </w:r>
      <w:r w:rsidRPr="00762E58">
        <w:rPr>
          <w:rFonts w:ascii="Cavolini" w:eastAsia="Times New Roman" w:hAnsi="Cavolini" w:cs="Cavolini"/>
          <w:kern w:val="0"/>
          <w:sz w:val="20"/>
          <w:szCs w:val="20"/>
          <w:lang w:eastAsia="fr-FR"/>
          <w14:ligatures w14:val="none"/>
        </w:rPr>
        <w:t xml:space="preserve"> : 0 </w:t>
      </w:r>
    </w:p>
    <w:p w14:paraId="29CC71DD" w14:textId="62E7BCDA"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0B34DA">
        <w:rPr>
          <w:rFonts w:ascii="Cavolini" w:eastAsia="Times New Roman" w:hAnsi="Cavolini" w:cs="Cavolini"/>
          <w:b/>
          <w:bCs/>
          <w:kern w:val="0"/>
          <w:sz w:val="20"/>
          <w:szCs w:val="20"/>
          <w:u w:val="single"/>
          <w:lang w:eastAsia="fr-FR"/>
          <w14:ligatures w14:val="none"/>
        </w:rPr>
        <w:t>Indicateurs clés</w:t>
      </w:r>
      <w:r w:rsidRPr="00762E58">
        <w:rPr>
          <w:rFonts w:ascii="Cavolini" w:eastAsia="Times New Roman" w:hAnsi="Cavolini" w:cs="Cavolini"/>
          <w:b/>
          <w:bCs/>
          <w:kern w:val="0"/>
          <w:sz w:val="20"/>
          <w:szCs w:val="20"/>
          <w:lang w:eastAsia="fr-FR"/>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1"/>
        <w:gridCol w:w="642"/>
      </w:tblGrid>
      <w:tr w:rsidR="00BA66A8" w:rsidRPr="00762E58" w14:paraId="13411BC0" w14:textId="77777777">
        <w:trPr>
          <w:tblHeader/>
          <w:tblCellSpacing w:w="15" w:type="dxa"/>
        </w:trPr>
        <w:tc>
          <w:tcPr>
            <w:tcW w:w="0" w:type="auto"/>
            <w:vAlign w:val="center"/>
            <w:hideMark/>
          </w:tcPr>
          <w:p w14:paraId="2338FF22" w14:textId="77777777" w:rsidR="00EF136A" w:rsidRPr="00762E58" w:rsidRDefault="00EF136A" w:rsidP="00BA66A8">
            <w:pPr>
              <w:spacing w:after="0" w:line="240" w:lineRule="auto"/>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Indicateur</w:t>
            </w:r>
          </w:p>
        </w:tc>
        <w:tc>
          <w:tcPr>
            <w:tcW w:w="0" w:type="auto"/>
            <w:vAlign w:val="center"/>
            <w:hideMark/>
          </w:tcPr>
          <w:p w14:paraId="5CA078A4" w14:textId="77777777" w:rsidR="00EF136A" w:rsidRPr="00762E58" w:rsidRDefault="00EF136A" w:rsidP="00EF136A">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2025</w:t>
            </w:r>
          </w:p>
        </w:tc>
      </w:tr>
      <w:tr w:rsidR="00BA66A8" w:rsidRPr="00762E58" w14:paraId="54B44B1D" w14:textId="77777777">
        <w:trPr>
          <w:tblCellSpacing w:w="15" w:type="dxa"/>
        </w:trPr>
        <w:tc>
          <w:tcPr>
            <w:tcW w:w="0" w:type="auto"/>
            <w:vAlign w:val="center"/>
            <w:hideMark/>
          </w:tcPr>
          <w:p w14:paraId="43D24501"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TF1 (Taux de fréquence 1)</w:t>
            </w:r>
          </w:p>
        </w:tc>
        <w:tc>
          <w:tcPr>
            <w:tcW w:w="0" w:type="auto"/>
            <w:vAlign w:val="center"/>
            <w:hideMark/>
          </w:tcPr>
          <w:p w14:paraId="74AE104D"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21,73</w:t>
            </w:r>
          </w:p>
        </w:tc>
      </w:tr>
      <w:tr w:rsidR="00BA66A8" w:rsidRPr="00762E58" w14:paraId="18DF0182" w14:textId="77777777">
        <w:trPr>
          <w:tblCellSpacing w:w="15" w:type="dxa"/>
        </w:trPr>
        <w:tc>
          <w:tcPr>
            <w:tcW w:w="0" w:type="auto"/>
            <w:vAlign w:val="center"/>
            <w:hideMark/>
          </w:tcPr>
          <w:p w14:paraId="23B27C2A"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TF2 (Taux de fréquence 2)</w:t>
            </w:r>
          </w:p>
        </w:tc>
        <w:tc>
          <w:tcPr>
            <w:tcW w:w="0" w:type="auto"/>
            <w:vAlign w:val="center"/>
            <w:hideMark/>
          </w:tcPr>
          <w:p w14:paraId="11522EED"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65,18</w:t>
            </w:r>
          </w:p>
        </w:tc>
      </w:tr>
      <w:tr w:rsidR="00BA66A8" w:rsidRPr="00762E58" w14:paraId="1D970D69" w14:textId="77777777">
        <w:trPr>
          <w:tblCellSpacing w:w="15" w:type="dxa"/>
        </w:trPr>
        <w:tc>
          <w:tcPr>
            <w:tcW w:w="0" w:type="auto"/>
            <w:vAlign w:val="center"/>
            <w:hideMark/>
          </w:tcPr>
          <w:p w14:paraId="3E498FAD"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Taux de gravité (Tg)</w:t>
            </w:r>
          </w:p>
        </w:tc>
        <w:tc>
          <w:tcPr>
            <w:tcW w:w="0" w:type="auto"/>
            <w:vAlign w:val="center"/>
            <w:hideMark/>
          </w:tcPr>
          <w:p w14:paraId="2719A336"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0,10</w:t>
            </w:r>
          </w:p>
        </w:tc>
      </w:tr>
      <w:tr w:rsidR="00BA66A8" w:rsidRPr="00762E58" w14:paraId="2F8E54B0" w14:textId="77777777">
        <w:trPr>
          <w:tblCellSpacing w:w="15" w:type="dxa"/>
        </w:trPr>
        <w:tc>
          <w:tcPr>
            <w:tcW w:w="0" w:type="auto"/>
            <w:vAlign w:val="center"/>
            <w:hideMark/>
          </w:tcPr>
          <w:p w14:paraId="46EA30DD"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Nombre d’heures de formation SST</w:t>
            </w:r>
          </w:p>
        </w:tc>
        <w:tc>
          <w:tcPr>
            <w:tcW w:w="0" w:type="auto"/>
            <w:vAlign w:val="center"/>
            <w:hideMark/>
          </w:tcPr>
          <w:p w14:paraId="21615F36"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308</w:t>
            </w:r>
          </w:p>
        </w:tc>
      </w:tr>
      <w:tr w:rsidR="00BA66A8" w:rsidRPr="00762E58" w14:paraId="5E9FACB3" w14:textId="77777777" w:rsidTr="00BA66A8">
        <w:trPr>
          <w:trHeight w:val="214"/>
          <w:tblCellSpacing w:w="15" w:type="dxa"/>
        </w:trPr>
        <w:tc>
          <w:tcPr>
            <w:tcW w:w="0" w:type="auto"/>
            <w:vAlign w:val="center"/>
          </w:tcPr>
          <w:p w14:paraId="5D09835D" w14:textId="77777777" w:rsidR="00202865" w:rsidRPr="00762E58" w:rsidRDefault="00202865" w:rsidP="00EF136A">
            <w:pPr>
              <w:spacing w:after="0" w:line="240" w:lineRule="auto"/>
              <w:rPr>
                <w:rFonts w:ascii="Cavolini" w:eastAsia="Times New Roman" w:hAnsi="Cavolini" w:cs="Cavolini"/>
                <w:b/>
                <w:bCs/>
                <w:kern w:val="0"/>
                <w:sz w:val="20"/>
                <w:szCs w:val="20"/>
                <w:lang w:eastAsia="fr-FR"/>
                <w14:ligatures w14:val="none"/>
              </w:rPr>
            </w:pPr>
          </w:p>
          <w:p w14:paraId="2D2BA999" w14:textId="77777777" w:rsidR="00202865" w:rsidRDefault="00202865" w:rsidP="00EF136A">
            <w:pPr>
              <w:spacing w:after="0" w:line="240" w:lineRule="auto"/>
              <w:rPr>
                <w:rFonts w:ascii="Cavolini" w:eastAsia="Times New Roman" w:hAnsi="Cavolini" w:cs="Cavolini"/>
                <w:b/>
                <w:bCs/>
                <w:color w:val="EE0000"/>
                <w:kern w:val="0"/>
                <w:sz w:val="20"/>
                <w:szCs w:val="20"/>
                <w:lang w:eastAsia="fr-FR"/>
                <w14:ligatures w14:val="none"/>
              </w:rPr>
            </w:pPr>
          </w:p>
          <w:p w14:paraId="0C5D6ED4" w14:textId="77777777" w:rsidR="00BA66A8" w:rsidRDefault="00BA66A8" w:rsidP="00EF136A">
            <w:pPr>
              <w:spacing w:after="0" w:line="240" w:lineRule="auto"/>
              <w:rPr>
                <w:rFonts w:ascii="Cavolini" w:eastAsia="Times New Roman" w:hAnsi="Cavolini" w:cs="Cavolini"/>
                <w:b/>
                <w:bCs/>
                <w:color w:val="EE0000"/>
                <w:kern w:val="0"/>
                <w:sz w:val="20"/>
                <w:szCs w:val="20"/>
                <w:lang w:eastAsia="fr-FR"/>
                <w14:ligatures w14:val="none"/>
              </w:rPr>
            </w:pPr>
          </w:p>
          <w:p w14:paraId="58438B71" w14:textId="77777777" w:rsidR="00BA66A8" w:rsidRDefault="00BA66A8" w:rsidP="00EF136A">
            <w:pPr>
              <w:spacing w:after="0" w:line="240" w:lineRule="auto"/>
              <w:rPr>
                <w:rFonts w:ascii="Cavolini" w:eastAsia="Times New Roman" w:hAnsi="Cavolini" w:cs="Cavolini"/>
                <w:b/>
                <w:bCs/>
                <w:color w:val="EE0000"/>
                <w:kern w:val="0"/>
                <w:sz w:val="20"/>
                <w:szCs w:val="20"/>
                <w:lang w:eastAsia="fr-FR"/>
                <w14:ligatures w14:val="none"/>
              </w:rPr>
            </w:pPr>
          </w:p>
          <w:p w14:paraId="4741CCB5" w14:textId="64B6439A" w:rsidR="00BA66A8" w:rsidRDefault="00BA66A8" w:rsidP="00BA66A8">
            <w:pPr>
              <w:spacing w:after="0" w:line="240" w:lineRule="auto"/>
              <w:jc w:val="center"/>
              <w:rPr>
                <w:rFonts w:ascii="Cavolini" w:eastAsia="Times New Roman" w:hAnsi="Cavolini" w:cs="Cavolini"/>
                <w:b/>
                <w:bCs/>
                <w:color w:val="EE0000"/>
                <w:kern w:val="0"/>
                <w:sz w:val="20"/>
                <w:szCs w:val="20"/>
                <w:lang w:eastAsia="fr-FR"/>
                <w14:ligatures w14:val="none"/>
              </w:rPr>
            </w:pPr>
          </w:p>
          <w:p w14:paraId="239EE5FA" w14:textId="77777777" w:rsidR="00BA66A8" w:rsidRDefault="00BA66A8" w:rsidP="00EF136A">
            <w:pPr>
              <w:spacing w:after="0" w:line="240" w:lineRule="auto"/>
              <w:rPr>
                <w:rFonts w:ascii="Cavolini" w:eastAsia="Times New Roman" w:hAnsi="Cavolini" w:cs="Cavolini"/>
                <w:b/>
                <w:bCs/>
                <w:color w:val="EE0000"/>
                <w:kern w:val="0"/>
                <w:sz w:val="20"/>
                <w:szCs w:val="20"/>
                <w:lang w:eastAsia="fr-FR"/>
                <w14:ligatures w14:val="none"/>
              </w:rPr>
            </w:pPr>
          </w:p>
          <w:p w14:paraId="40BF42D8" w14:textId="77777777" w:rsidR="00BA66A8" w:rsidRDefault="00BA66A8" w:rsidP="00EF136A">
            <w:pPr>
              <w:spacing w:after="0" w:line="240" w:lineRule="auto"/>
              <w:rPr>
                <w:rFonts w:ascii="Cavolini" w:eastAsia="Times New Roman" w:hAnsi="Cavolini" w:cs="Cavolini"/>
                <w:b/>
                <w:bCs/>
                <w:color w:val="EE0000"/>
                <w:kern w:val="0"/>
                <w:sz w:val="20"/>
                <w:szCs w:val="20"/>
                <w:lang w:eastAsia="fr-FR"/>
                <w14:ligatures w14:val="none"/>
              </w:rPr>
            </w:pPr>
          </w:p>
          <w:p w14:paraId="796D0A5A" w14:textId="77777777" w:rsidR="00BA66A8" w:rsidRDefault="00BA66A8" w:rsidP="00EF136A">
            <w:pPr>
              <w:spacing w:after="0" w:line="240" w:lineRule="auto"/>
              <w:rPr>
                <w:rFonts w:ascii="Cavolini" w:eastAsia="Times New Roman" w:hAnsi="Cavolini" w:cs="Cavolini"/>
                <w:b/>
                <w:bCs/>
                <w:color w:val="EE0000"/>
                <w:kern w:val="0"/>
                <w:sz w:val="20"/>
                <w:szCs w:val="20"/>
                <w:lang w:eastAsia="fr-FR"/>
                <w14:ligatures w14:val="none"/>
              </w:rPr>
            </w:pPr>
          </w:p>
          <w:p w14:paraId="2B585BCB" w14:textId="77777777" w:rsidR="00BA66A8" w:rsidRDefault="00BA66A8" w:rsidP="00EF136A">
            <w:pPr>
              <w:spacing w:after="0" w:line="240" w:lineRule="auto"/>
              <w:rPr>
                <w:rFonts w:ascii="Cavolini" w:eastAsia="Times New Roman" w:hAnsi="Cavolini" w:cs="Cavolini"/>
                <w:b/>
                <w:bCs/>
                <w:color w:val="EE0000"/>
                <w:kern w:val="0"/>
                <w:sz w:val="20"/>
                <w:szCs w:val="20"/>
                <w:lang w:eastAsia="fr-FR"/>
                <w14:ligatures w14:val="none"/>
              </w:rPr>
            </w:pPr>
          </w:p>
          <w:p w14:paraId="099D2A3C" w14:textId="77777777" w:rsidR="00BA66A8" w:rsidRDefault="00BA66A8" w:rsidP="00EF136A">
            <w:pPr>
              <w:spacing w:after="0" w:line="240" w:lineRule="auto"/>
              <w:rPr>
                <w:rFonts w:ascii="Cavolini" w:eastAsia="Times New Roman" w:hAnsi="Cavolini" w:cs="Cavolini"/>
                <w:b/>
                <w:bCs/>
                <w:color w:val="EE0000"/>
                <w:kern w:val="0"/>
                <w:sz w:val="20"/>
                <w:szCs w:val="20"/>
                <w:lang w:eastAsia="fr-FR"/>
                <w14:ligatures w14:val="none"/>
              </w:rPr>
            </w:pPr>
          </w:p>
          <w:p w14:paraId="15EE475C" w14:textId="77777777" w:rsidR="00BA66A8" w:rsidRDefault="00BA66A8" w:rsidP="00EF136A">
            <w:pPr>
              <w:spacing w:after="0" w:line="240" w:lineRule="auto"/>
              <w:rPr>
                <w:rFonts w:ascii="Cavolini" w:eastAsia="Times New Roman" w:hAnsi="Cavolini" w:cs="Cavolini"/>
                <w:b/>
                <w:bCs/>
                <w:color w:val="EE0000"/>
                <w:kern w:val="0"/>
                <w:sz w:val="20"/>
                <w:szCs w:val="20"/>
                <w:lang w:eastAsia="fr-FR"/>
                <w14:ligatures w14:val="none"/>
              </w:rPr>
            </w:pPr>
          </w:p>
          <w:p w14:paraId="36E2A84E" w14:textId="4E9C79C0" w:rsidR="00BA66A8" w:rsidRPr="00762E58" w:rsidRDefault="00BA66A8" w:rsidP="00EF136A">
            <w:pPr>
              <w:spacing w:after="0" w:line="240" w:lineRule="auto"/>
              <w:rPr>
                <w:rFonts w:ascii="Cavolini" w:eastAsia="Times New Roman" w:hAnsi="Cavolini" w:cs="Cavolini"/>
                <w:kern w:val="0"/>
                <w:sz w:val="20"/>
                <w:szCs w:val="20"/>
                <w:lang w:eastAsia="fr-FR"/>
                <w14:ligatures w14:val="none"/>
              </w:rPr>
            </w:pPr>
          </w:p>
        </w:tc>
        <w:tc>
          <w:tcPr>
            <w:tcW w:w="0" w:type="auto"/>
            <w:vAlign w:val="center"/>
          </w:tcPr>
          <w:p w14:paraId="305F99E5" w14:textId="77777777" w:rsidR="00202865" w:rsidRPr="00762E58" w:rsidRDefault="00202865" w:rsidP="00EF136A">
            <w:pPr>
              <w:spacing w:after="0" w:line="240" w:lineRule="auto"/>
              <w:rPr>
                <w:rFonts w:ascii="Cavolini" w:eastAsia="Times New Roman" w:hAnsi="Cavolini" w:cs="Cavolini"/>
                <w:kern w:val="0"/>
                <w:sz w:val="20"/>
                <w:szCs w:val="20"/>
                <w:lang w:eastAsia="fr-FR"/>
                <w14:ligatures w14:val="none"/>
              </w:rPr>
            </w:pPr>
          </w:p>
        </w:tc>
      </w:tr>
    </w:tbl>
    <w:p w14:paraId="1C82E09F" w14:textId="77777777" w:rsidR="00C71E49" w:rsidRDefault="00C71E49"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507D14E1" w14:textId="04396C63" w:rsidR="00C71E49" w:rsidRDefault="000B1A4B"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Pr>
          <w:rFonts w:ascii="Cavolini" w:eastAsia="Times New Roman" w:hAnsi="Cavolini" w:cs="Cavolini"/>
          <w:noProof/>
          <w:kern w:val="0"/>
          <w:sz w:val="20"/>
          <w:szCs w:val="20"/>
          <w:lang w:eastAsia="fr-FR"/>
        </w:rPr>
        <w:lastRenderedPageBreak/>
        <w:drawing>
          <wp:inline distT="0" distB="0" distL="0" distR="0" wp14:anchorId="192C64CE" wp14:editId="70EC1F75">
            <wp:extent cx="5324475" cy="3171560"/>
            <wp:effectExtent l="0" t="0" r="0" b="0"/>
            <wp:docPr id="14868852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85265" name="Image 1486885265"/>
                    <pic:cNvPicPr/>
                  </pic:nvPicPr>
                  <pic:blipFill>
                    <a:blip r:embed="rId11">
                      <a:extLst>
                        <a:ext uri="{28A0092B-C50C-407E-A947-70E740481C1C}">
                          <a14:useLocalDpi xmlns:a14="http://schemas.microsoft.com/office/drawing/2010/main" val="0"/>
                        </a:ext>
                      </a:extLst>
                    </a:blip>
                    <a:stretch>
                      <a:fillRect/>
                    </a:stretch>
                  </pic:blipFill>
                  <pic:spPr>
                    <a:xfrm>
                      <a:off x="0" y="0"/>
                      <a:ext cx="5336718" cy="3178853"/>
                    </a:xfrm>
                    <a:prstGeom prst="rect">
                      <a:avLst/>
                    </a:prstGeom>
                  </pic:spPr>
                </pic:pic>
              </a:graphicData>
            </a:graphic>
          </wp:inline>
        </w:drawing>
      </w:r>
    </w:p>
    <w:p w14:paraId="0253B504" w14:textId="1F9A79A5"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résultats reflètent une </w:t>
      </w:r>
      <w:r w:rsidRPr="00762E58">
        <w:rPr>
          <w:rFonts w:ascii="Cavolini" w:eastAsia="Times New Roman" w:hAnsi="Cavolini" w:cs="Cavolini"/>
          <w:b/>
          <w:bCs/>
          <w:kern w:val="0"/>
          <w:sz w:val="20"/>
          <w:szCs w:val="20"/>
          <w:lang w:eastAsia="fr-FR"/>
          <w14:ligatures w14:val="none"/>
        </w:rPr>
        <w:t>amélioration significative du taux de gravité</w:t>
      </w:r>
      <w:r w:rsidRPr="00762E58">
        <w:rPr>
          <w:rFonts w:ascii="Cavolini" w:eastAsia="Times New Roman" w:hAnsi="Cavolini" w:cs="Cavolini"/>
          <w:kern w:val="0"/>
          <w:sz w:val="20"/>
          <w:szCs w:val="20"/>
          <w:lang w:eastAsia="fr-FR"/>
          <w14:ligatures w14:val="none"/>
        </w:rPr>
        <w:t xml:space="preserve"> et un suivi rigoureux des accidents, démontrant l’efficacité des programmes de prévention.</w:t>
      </w:r>
    </w:p>
    <w:p w14:paraId="6053FC18" w14:textId="24A456FC"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3.2 Conditions de travail</w:t>
      </w:r>
    </w:p>
    <w:p w14:paraId="10FB13EB"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NMBP veille à maintenir des conditions de travail favorables et à encourager la participation des collaborateurs :</w:t>
      </w:r>
    </w:p>
    <w:p w14:paraId="0B37D7C5" w14:textId="77777777" w:rsidR="00EF136A" w:rsidRPr="00762E58" w:rsidRDefault="00EF136A" w:rsidP="00EF136A">
      <w:pPr>
        <w:numPr>
          <w:ilvl w:val="0"/>
          <w:numId w:val="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d’embauches 2025</w:t>
      </w:r>
      <w:r w:rsidRPr="00762E58">
        <w:rPr>
          <w:rFonts w:ascii="Cavolini" w:eastAsia="Times New Roman" w:hAnsi="Cavolini" w:cs="Cavolini"/>
          <w:kern w:val="0"/>
          <w:sz w:val="20"/>
          <w:szCs w:val="20"/>
          <w:lang w:eastAsia="fr-FR"/>
          <w14:ligatures w14:val="none"/>
        </w:rPr>
        <w:t xml:space="preserve"> : 6 </w:t>
      </w:r>
    </w:p>
    <w:p w14:paraId="785D5949" w14:textId="77777777" w:rsidR="00EF136A" w:rsidRPr="00762E58" w:rsidRDefault="00EF136A" w:rsidP="00EF136A">
      <w:pPr>
        <w:numPr>
          <w:ilvl w:val="0"/>
          <w:numId w:val="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départs 2025</w:t>
      </w:r>
      <w:r w:rsidRPr="00762E58">
        <w:rPr>
          <w:rFonts w:ascii="Cavolini" w:eastAsia="Times New Roman" w:hAnsi="Cavolini" w:cs="Cavolini"/>
          <w:kern w:val="0"/>
          <w:sz w:val="20"/>
          <w:szCs w:val="20"/>
          <w:lang w:eastAsia="fr-FR"/>
          <w14:ligatures w14:val="none"/>
        </w:rPr>
        <w:t xml:space="preserve"> : 10 </w:t>
      </w:r>
    </w:p>
    <w:p w14:paraId="3037329E" w14:textId="77777777" w:rsidR="00EF136A" w:rsidRPr="00762E58" w:rsidRDefault="00EF136A" w:rsidP="00EF136A">
      <w:pPr>
        <w:numPr>
          <w:ilvl w:val="0"/>
          <w:numId w:val="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Taux de turnover</w:t>
      </w:r>
      <w:r w:rsidRPr="00762E58">
        <w:rPr>
          <w:rFonts w:ascii="Cavolini" w:eastAsia="Times New Roman" w:hAnsi="Cavolini" w:cs="Cavolini"/>
          <w:kern w:val="0"/>
          <w:sz w:val="20"/>
          <w:szCs w:val="20"/>
          <w:lang w:eastAsia="fr-FR"/>
          <w14:ligatures w14:val="none"/>
        </w:rPr>
        <w:t xml:space="preserve"> : 25 % </w:t>
      </w:r>
    </w:p>
    <w:p w14:paraId="509D9CDB" w14:textId="77777777" w:rsidR="00EF136A" w:rsidRPr="00762E58" w:rsidRDefault="00EF136A" w:rsidP="00EF136A">
      <w:pPr>
        <w:numPr>
          <w:ilvl w:val="0"/>
          <w:numId w:val="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Taux d’absentéisme</w:t>
      </w:r>
      <w:r w:rsidRPr="00762E58">
        <w:rPr>
          <w:rFonts w:ascii="Cavolini" w:eastAsia="Times New Roman" w:hAnsi="Cavolini" w:cs="Cavolini"/>
          <w:kern w:val="0"/>
          <w:sz w:val="20"/>
          <w:szCs w:val="20"/>
          <w:lang w:eastAsia="fr-FR"/>
          <w14:ligatures w14:val="none"/>
        </w:rPr>
        <w:t xml:space="preserve"> : 7,33 % </w:t>
      </w:r>
    </w:p>
    <w:p w14:paraId="49976602" w14:textId="77777777" w:rsidR="00EF136A" w:rsidRPr="00762E58" w:rsidRDefault="00EF136A" w:rsidP="00EF136A">
      <w:pPr>
        <w:numPr>
          <w:ilvl w:val="0"/>
          <w:numId w:val="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d’événements conviviaux</w:t>
      </w:r>
      <w:r w:rsidRPr="00762E58">
        <w:rPr>
          <w:rFonts w:ascii="Cavolini" w:eastAsia="Times New Roman" w:hAnsi="Cavolini" w:cs="Cavolini"/>
          <w:kern w:val="0"/>
          <w:sz w:val="20"/>
          <w:szCs w:val="20"/>
          <w:lang w:eastAsia="fr-FR"/>
          <w14:ligatures w14:val="none"/>
        </w:rPr>
        <w:t xml:space="preserve"> : 3, participation moyenne : 72 % </w:t>
      </w:r>
    </w:p>
    <w:p w14:paraId="50313C82" w14:textId="77777777" w:rsidR="00EF136A" w:rsidRPr="00762E58" w:rsidRDefault="00EF136A" w:rsidP="00EF136A">
      <w:pPr>
        <w:numPr>
          <w:ilvl w:val="0"/>
          <w:numId w:val="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moyen d’années dans l’entreprise</w:t>
      </w:r>
      <w:r w:rsidRPr="00762E58">
        <w:rPr>
          <w:rFonts w:ascii="Cavolini" w:eastAsia="Times New Roman" w:hAnsi="Cavolini" w:cs="Cavolini"/>
          <w:kern w:val="0"/>
          <w:sz w:val="20"/>
          <w:szCs w:val="20"/>
          <w:lang w:eastAsia="fr-FR"/>
          <w14:ligatures w14:val="none"/>
        </w:rPr>
        <w:t xml:space="preserve"> : 7,82 </w:t>
      </w:r>
    </w:p>
    <w:p w14:paraId="0BEB22A5"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données illustrent une politique active de </w:t>
      </w:r>
      <w:r w:rsidRPr="00762E58">
        <w:rPr>
          <w:rFonts w:ascii="Cavolini" w:eastAsia="Times New Roman" w:hAnsi="Cavolini" w:cs="Cavolini"/>
          <w:b/>
          <w:bCs/>
          <w:kern w:val="0"/>
          <w:sz w:val="20"/>
          <w:szCs w:val="20"/>
          <w:lang w:eastAsia="fr-FR"/>
          <w14:ligatures w14:val="none"/>
        </w:rPr>
        <w:t>cohésion et d’engagement des équipes</w:t>
      </w:r>
      <w:r w:rsidRPr="00762E58">
        <w:rPr>
          <w:rFonts w:ascii="Cavolini" w:eastAsia="Times New Roman" w:hAnsi="Cavolini" w:cs="Cavolini"/>
          <w:kern w:val="0"/>
          <w:sz w:val="20"/>
          <w:szCs w:val="20"/>
          <w:lang w:eastAsia="fr-FR"/>
          <w14:ligatures w14:val="none"/>
        </w:rPr>
        <w:t>, avec des événements visant à renforcer les liens et le sentiment d’appartenance.</w:t>
      </w:r>
    </w:p>
    <w:p w14:paraId="569CB821"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3.3 Dialogue social et relations avec les collaborateurs</w:t>
      </w:r>
    </w:p>
    <w:p w14:paraId="5550BFED"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Le dialogue social est structuré et transparent, permettant aux représentants du personnel et au CSE de participer activement à la prévention des risques et à l’amélioration continue :</w:t>
      </w:r>
    </w:p>
    <w:p w14:paraId="15DFBD31" w14:textId="77777777" w:rsidR="00EF136A" w:rsidRPr="00762E58" w:rsidRDefault="00EF136A" w:rsidP="00EF136A">
      <w:pPr>
        <w:numPr>
          <w:ilvl w:val="0"/>
          <w:numId w:val="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réunions CSE</w:t>
      </w:r>
      <w:r w:rsidRPr="00762E58">
        <w:rPr>
          <w:rFonts w:ascii="Cavolini" w:eastAsia="Times New Roman" w:hAnsi="Cavolini" w:cs="Cavolini"/>
          <w:kern w:val="0"/>
          <w:sz w:val="20"/>
          <w:szCs w:val="20"/>
          <w:lang w:eastAsia="fr-FR"/>
          <w14:ligatures w14:val="none"/>
        </w:rPr>
        <w:t xml:space="preserve"> : 13 </w:t>
      </w:r>
    </w:p>
    <w:p w14:paraId="4369CF53" w14:textId="77777777" w:rsidR="00EF136A" w:rsidRPr="00762E58" w:rsidRDefault="00EF136A" w:rsidP="00EF136A">
      <w:pPr>
        <w:numPr>
          <w:ilvl w:val="0"/>
          <w:numId w:val="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Entretiens annuels réalisés</w:t>
      </w:r>
      <w:r w:rsidRPr="00762E58">
        <w:rPr>
          <w:rFonts w:ascii="Cavolini" w:eastAsia="Times New Roman" w:hAnsi="Cavolini" w:cs="Cavolini"/>
          <w:kern w:val="0"/>
          <w:sz w:val="20"/>
          <w:szCs w:val="20"/>
          <w:lang w:eastAsia="fr-FR"/>
          <w14:ligatures w14:val="none"/>
        </w:rPr>
        <w:t xml:space="preserve"> : 95 % </w:t>
      </w:r>
    </w:p>
    <w:p w14:paraId="4D438AC7" w14:textId="77777777" w:rsidR="00EF136A" w:rsidRPr="00762E58" w:rsidRDefault="00EF136A" w:rsidP="00EF136A">
      <w:pPr>
        <w:numPr>
          <w:ilvl w:val="0"/>
          <w:numId w:val="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réunions d’information générale</w:t>
      </w:r>
      <w:r w:rsidRPr="00762E58">
        <w:rPr>
          <w:rFonts w:ascii="Cavolini" w:eastAsia="Times New Roman" w:hAnsi="Cavolini" w:cs="Cavolini"/>
          <w:kern w:val="0"/>
          <w:sz w:val="20"/>
          <w:szCs w:val="20"/>
          <w:lang w:eastAsia="fr-FR"/>
          <w14:ligatures w14:val="none"/>
        </w:rPr>
        <w:t xml:space="preserve"> : 2 </w:t>
      </w:r>
    </w:p>
    <w:p w14:paraId="332FD627" w14:textId="77777777" w:rsidR="00EF136A" w:rsidRPr="00762E58" w:rsidRDefault="00EF136A" w:rsidP="00EF136A">
      <w:pPr>
        <w:numPr>
          <w:ilvl w:val="0"/>
          <w:numId w:val="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Participation à l’enquête QVT</w:t>
      </w:r>
      <w:r w:rsidRPr="00762E58">
        <w:rPr>
          <w:rFonts w:ascii="Cavolini" w:eastAsia="Times New Roman" w:hAnsi="Cavolini" w:cs="Cavolini"/>
          <w:kern w:val="0"/>
          <w:sz w:val="20"/>
          <w:szCs w:val="20"/>
          <w:lang w:eastAsia="fr-FR"/>
          <w14:ligatures w14:val="none"/>
        </w:rPr>
        <w:t xml:space="preserve"> : 94 % </w:t>
      </w:r>
    </w:p>
    <w:p w14:paraId="4D37522F" w14:textId="77777777" w:rsidR="00EF136A" w:rsidRPr="00762E58" w:rsidRDefault="00EF136A" w:rsidP="00EF136A">
      <w:pPr>
        <w:numPr>
          <w:ilvl w:val="0"/>
          <w:numId w:val="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Satisfaction dans l’enquête QVT</w:t>
      </w:r>
      <w:r w:rsidRPr="00762E58">
        <w:rPr>
          <w:rFonts w:ascii="Cavolini" w:eastAsia="Times New Roman" w:hAnsi="Cavolini" w:cs="Cavolini"/>
          <w:kern w:val="0"/>
          <w:sz w:val="20"/>
          <w:szCs w:val="20"/>
          <w:lang w:eastAsia="fr-FR"/>
          <w14:ligatures w14:val="none"/>
        </w:rPr>
        <w:t xml:space="preserve"> : 82 % </w:t>
      </w:r>
    </w:p>
    <w:p w14:paraId="5C368624" w14:textId="400C12CA" w:rsidR="000B34D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lastRenderedPageBreak/>
        <w:t xml:space="preserve">Ces indicateurs montrent une </w:t>
      </w:r>
      <w:r w:rsidRPr="00762E58">
        <w:rPr>
          <w:rFonts w:ascii="Cavolini" w:eastAsia="Times New Roman" w:hAnsi="Cavolini" w:cs="Cavolini"/>
          <w:b/>
          <w:bCs/>
          <w:kern w:val="0"/>
          <w:sz w:val="20"/>
          <w:szCs w:val="20"/>
          <w:lang w:eastAsia="fr-FR"/>
          <w14:ligatures w14:val="none"/>
        </w:rPr>
        <w:t>forte implication des collaborateurs dans la vie de l’entreprise</w:t>
      </w:r>
      <w:r w:rsidRPr="00762E58">
        <w:rPr>
          <w:rFonts w:ascii="Cavolini" w:eastAsia="Times New Roman" w:hAnsi="Cavolini" w:cs="Cavolini"/>
          <w:kern w:val="0"/>
          <w:sz w:val="20"/>
          <w:szCs w:val="20"/>
          <w:lang w:eastAsia="fr-FR"/>
          <w14:ligatures w14:val="none"/>
        </w:rPr>
        <w:t>, favorisant un environnement de travail ouvert et participatif</w:t>
      </w:r>
    </w:p>
    <w:p w14:paraId="0E1257F7"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3.4 Formation et développement des compétences</w:t>
      </w:r>
    </w:p>
    <w:p w14:paraId="70C54AEF"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La formation est un levier clé pour la sécurité, la polyvalence et le développement professionnel :</w:t>
      </w:r>
    </w:p>
    <w:p w14:paraId="5BD8B978" w14:textId="325991F6" w:rsidR="00EF136A" w:rsidRPr="00762E58" w:rsidRDefault="00EF136A" w:rsidP="00EF136A">
      <w:pPr>
        <w:numPr>
          <w:ilvl w:val="0"/>
          <w:numId w:val="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moyen d’heures de formation par salarié</w:t>
      </w:r>
      <w:r w:rsidRPr="00762E58">
        <w:rPr>
          <w:rFonts w:ascii="Cavolini" w:eastAsia="Times New Roman" w:hAnsi="Cavolini" w:cs="Cavolini"/>
          <w:kern w:val="0"/>
          <w:sz w:val="20"/>
          <w:szCs w:val="20"/>
          <w:lang w:eastAsia="fr-FR"/>
          <w14:ligatures w14:val="none"/>
        </w:rPr>
        <w:t xml:space="preserve"> : 17,28 h </w:t>
      </w:r>
    </w:p>
    <w:p w14:paraId="24501A2B" w14:textId="77777777" w:rsidR="00EF136A" w:rsidRPr="00762E58" w:rsidRDefault="00EF136A" w:rsidP="00EF136A">
      <w:pPr>
        <w:numPr>
          <w:ilvl w:val="0"/>
          <w:numId w:val="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Budget formation 2025</w:t>
      </w:r>
      <w:r w:rsidRPr="00762E58">
        <w:rPr>
          <w:rFonts w:ascii="Cavolini" w:eastAsia="Times New Roman" w:hAnsi="Cavolini" w:cs="Cavolini"/>
          <w:kern w:val="0"/>
          <w:sz w:val="20"/>
          <w:szCs w:val="20"/>
          <w:lang w:eastAsia="fr-FR"/>
          <w14:ligatures w14:val="none"/>
        </w:rPr>
        <w:t xml:space="preserve"> : 58 793 € </w:t>
      </w:r>
    </w:p>
    <w:p w14:paraId="3008BAD7" w14:textId="77777777" w:rsidR="00EF136A" w:rsidRPr="00762E58" w:rsidRDefault="00EF136A" w:rsidP="00EF136A">
      <w:pPr>
        <w:numPr>
          <w:ilvl w:val="0"/>
          <w:numId w:val="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Taux de réalisation du plan de formation</w:t>
      </w:r>
      <w:r w:rsidRPr="00762E58">
        <w:rPr>
          <w:rFonts w:ascii="Cavolini" w:eastAsia="Times New Roman" w:hAnsi="Cavolini" w:cs="Cavolini"/>
          <w:kern w:val="0"/>
          <w:sz w:val="20"/>
          <w:szCs w:val="20"/>
          <w:lang w:eastAsia="fr-FR"/>
          <w14:ligatures w14:val="none"/>
        </w:rPr>
        <w:t xml:space="preserve"> : 77 % </w:t>
      </w:r>
    </w:p>
    <w:p w14:paraId="64B3CB9E" w14:textId="7971DAB6" w:rsidR="00C71E49" w:rsidRPr="00A94A05" w:rsidRDefault="00EF136A" w:rsidP="00C71E49">
      <w:pPr>
        <w:numPr>
          <w:ilvl w:val="0"/>
          <w:numId w:val="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Indice de compétences / polyvalence</w:t>
      </w:r>
      <w:r w:rsidRPr="00762E58">
        <w:rPr>
          <w:rFonts w:ascii="Cavolini" w:eastAsia="Times New Roman" w:hAnsi="Cavolini" w:cs="Cavolini"/>
          <w:kern w:val="0"/>
          <w:sz w:val="20"/>
          <w:szCs w:val="20"/>
          <w:lang w:eastAsia="fr-FR"/>
          <w14:ligatures w14:val="none"/>
        </w:rPr>
        <w:t xml:space="preserve"> : 59,25 % </w:t>
      </w:r>
    </w:p>
    <w:p w14:paraId="731AD523" w14:textId="39C40F02" w:rsidR="00C71E49" w:rsidRPr="00762E58" w:rsidRDefault="00C71E49" w:rsidP="00C71E49">
      <w:pPr>
        <w:spacing w:before="100" w:beforeAutospacing="1" w:after="100" w:afterAutospacing="1" w:line="240" w:lineRule="auto"/>
        <w:rPr>
          <w:rFonts w:ascii="Cavolini" w:eastAsia="Times New Roman" w:hAnsi="Cavolini" w:cs="Cavolini"/>
          <w:kern w:val="0"/>
          <w:sz w:val="20"/>
          <w:szCs w:val="20"/>
          <w:lang w:eastAsia="fr-FR"/>
          <w14:ligatures w14:val="none"/>
        </w:rPr>
      </w:pPr>
      <w:r>
        <w:rPr>
          <w:rFonts w:ascii="Cavolini" w:eastAsia="Times New Roman" w:hAnsi="Cavolini" w:cs="Cavolini"/>
          <w:noProof/>
          <w:kern w:val="0"/>
          <w:sz w:val="20"/>
          <w:szCs w:val="20"/>
          <w:lang w:eastAsia="fr-FR"/>
        </w:rPr>
        <w:drawing>
          <wp:inline distT="0" distB="0" distL="0" distR="0" wp14:anchorId="479B371A" wp14:editId="06960EFA">
            <wp:extent cx="4239797" cy="3096895"/>
            <wp:effectExtent l="0" t="0" r="8890" b="8255"/>
            <wp:docPr id="12089894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9454" name="Image 1208989454"/>
                    <pic:cNvPicPr/>
                  </pic:nvPicPr>
                  <pic:blipFill>
                    <a:blip r:embed="rId12">
                      <a:extLst>
                        <a:ext uri="{28A0092B-C50C-407E-A947-70E740481C1C}">
                          <a14:useLocalDpi xmlns:a14="http://schemas.microsoft.com/office/drawing/2010/main" val="0"/>
                        </a:ext>
                      </a:extLst>
                    </a:blip>
                    <a:stretch>
                      <a:fillRect/>
                    </a:stretch>
                  </pic:blipFill>
                  <pic:spPr>
                    <a:xfrm>
                      <a:off x="0" y="0"/>
                      <a:ext cx="4251514" cy="3105454"/>
                    </a:xfrm>
                    <a:prstGeom prst="rect">
                      <a:avLst/>
                    </a:prstGeom>
                  </pic:spPr>
                </pic:pic>
              </a:graphicData>
            </a:graphic>
          </wp:inline>
        </w:drawing>
      </w:r>
    </w:p>
    <w:p w14:paraId="2C1034B1" w14:textId="3180A122" w:rsidR="00C71E49"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investissements traduisent l’engagement de NMBP à </w:t>
      </w:r>
      <w:r w:rsidRPr="00762E58">
        <w:rPr>
          <w:rFonts w:ascii="Cavolini" w:eastAsia="Times New Roman" w:hAnsi="Cavolini" w:cs="Cavolini"/>
          <w:b/>
          <w:bCs/>
          <w:kern w:val="0"/>
          <w:sz w:val="20"/>
          <w:szCs w:val="20"/>
          <w:lang w:eastAsia="fr-FR"/>
          <w14:ligatures w14:val="none"/>
        </w:rPr>
        <w:t>développer les compétences et l’employabilité</w:t>
      </w:r>
      <w:r w:rsidRPr="00762E58">
        <w:rPr>
          <w:rFonts w:ascii="Cavolini" w:eastAsia="Times New Roman" w:hAnsi="Cavolini" w:cs="Cavolini"/>
          <w:kern w:val="0"/>
          <w:sz w:val="20"/>
          <w:szCs w:val="20"/>
          <w:lang w:eastAsia="fr-FR"/>
          <w14:ligatures w14:val="none"/>
        </w:rPr>
        <w:t xml:space="preserve"> de ses collaborateurs tout en renforçant la performance opérationnelle.</w:t>
      </w:r>
    </w:p>
    <w:p w14:paraId="44E811AE" w14:textId="77777777" w:rsidR="00EF136A" w:rsidRPr="000B34DA" w:rsidRDefault="00EF136A" w:rsidP="00EF136A">
      <w:pPr>
        <w:spacing w:before="100" w:beforeAutospacing="1" w:after="100" w:afterAutospacing="1" w:line="240" w:lineRule="auto"/>
        <w:outlineLvl w:val="1"/>
        <w:rPr>
          <w:rFonts w:ascii="Cavolini" w:eastAsia="Times New Roman" w:hAnsi="Cavolini" w:cs="Cavolini"/>
          <w:b/>
          <w:bCs/>
          <w:color w:val="156082" w:themeColor="accent1"/>
          <w:kern w:val="0"/>
          <w:sz w:val="24"/>
          <w:szCs w:val="24"/>
          <w:u w:val="single"/>
          <w:lang w:eastAsia="fr-FR"/>
          <w14:ligatures w14:val="none"/>
        </w:rPr>
      </w:pPr>
      <w:r w:rsidRPr="000B34DA">
        <w:rPr>
          <w:rFonts w:ascii="Cavolini" w:eastAsia="Times New Roman" w:hAnsi="Cavolini" w:cs="Cavolini"/>
          <w:b/>
          <w:bCs/>
          <w:color w:val="156082" w:themeColor="accent1"/>
          <w:kern w:val="0"/>
          <w:sz w:val="24"/>
          <w:szCs w:val="24"/>
          <w:u w:val="single"/>
          <w:lang w:eastAsia="fr-FR"/>
          <w14:ligatures w14:val="none"/>
        </w:rPr>
        <w:t>4. Diversité, équité et inclusion</w:t>
      </w:r>
    </w:p>
    <w:p w14:paraId="15FB2059"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NMBP s’engage à promouvoir un </w:t>
      </w:r>
      <w:r w:rsidRPr="00762E58">
        <w:rPr>
          <w:rFonts w:ascii="Cavolini" w:eastAsia="Times New Roman" w:hAnsi="Cavolini" w:cs="Cavolini"/>
          <w:b/>
          <w:bCs/>
          <w:kern w:val="0"/>
          <w:sz w:val="20"/>
          <w:szCs w:val="20"/>
          <w:lang w:eastAsia="fr-FR"/>
          <w14:ligatures w14:val="none"/>
        </w:rPr>
        <w:t>environnement de travail inclusif et équitable</w:t>
      </w:r>
      <w:r w:rsidRPr="00762E58">
        <w:rPr>
          <w:rFonts w:ascii="Cavolini" w:eastAsia="Times New Roman" w:hAnsi="Cavolini" w:cs="Cavolini"/>
          <w:kern w:val="0"/>
          <w:sz w:val="20"/>
          <w:szCs w:val="20"/>
          <w:lang w:eastAsia="fr-FR"/>
          <w14:ligatures w14:val="none"/>
        </w:rPr>
        <w:t>, garantissant l’égalité des chances et la diversité au sein de ses équipes. Les actions menées visent à valoriser les talents, réduire les inégalités et favoriser la représentation de toutes les catégories de collaborateurs.</w:t>
      </w:r>
    </w:p>
    <w:p w14:paraId="5E14AB88"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4.1 Répartition hommes / femmes</w:t>
      </w:r>
    </w:p>
    <w:p w14:paraId="05E8252F" w14:textId="39626658" w:rsidR="004F15C0"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En 2025, la répartition des collaborateurs par genre était la suivante :</w:t>
      </w:r>
    </w:p>
    <w:p w14:paraId="1A3036E4" w14:textId="77777777" w:rsidR="00EF136A" w:rsidRPr="00762E58" w:rsidRDefault="00EF136A" w:rsidP="00EF136A">
      <w:pPr>
        <w:numPr>
          <w:ilvl w:val="0"/>
          <w:numId w:val="7"/>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femmes</w:t>
      </w:r>
      <w:r w:rsidRPr="00762E58">
        <w:rPr>
          <w:rFonts w:ascii="Cavolini" w:eastAsia="Times New Roman" w:hAnsi="Cavolini" w:cs="Cavolini"/>
          <w:kern w:val="0"/>
          <w:sz w:val="20"/>
          <w:szCs w:val="20"/>
          <w:lang w:eastAsia="fr-FR"/>
          <w14:ligatures w14:val="none"/>
        </w:rPr>
        <w:t xml:space="preserve"> : 18 (38 %) </w:t>
      </w:r>
    </w:p>
    <w:p w14:paraId="19F17234" w14:textId="77777777" w:rsidR="004B792B" w:rsidRPr="004B792B" w:rsidRDefault="00EF136A" w:rsidP="00202865">
      <w:pPr>
        <w:numPr>
          <w:ilvl w:val="0"/>
          <w:numId w:val="7"/>
        </w:numPr>
        <w:spacing w:before="100" w:beforeAutospacing="1" w:after="100" w:afterAutospacing="1" w:line="240" w:lineRule="auto"/>
        <w:rPr>
          <w:rFonts w:ascii="Cavolini" w:eastAsia="Times New Roman" w:hAnsi="Cavolini" w:cs="Cavolini"/>
          <w:color w:val="EE0000"/>
          <w:kern w:val="0"/>
          <w:sz w:val="20"/>
          <w:szCs w:val="20"/>
          <w:lang w:eastAsia="fr-FR"/>
          <w14:ligatures w14:val="none"/>
        </w:rPr>
      </w:pPr>
      <w:r w:rsidRPr="004B792B">
        <w:rPr>
          <w:rFonts w:ascii="Cavolini" w:eastAsia="Times New Roman" w:hAnsi="Cavolini" w:cs="Cavolini"/>
          <w:b/>
          <w:bCs/>
          <w:kern w:val="0"/>
          <w:sz w:val="20"/>
          <w:szCs w:val="20"/>
          <w:lang w:eastAsia="fr-FR"/>
          <w14:ligatures w14:val="none"/>
        </w:rPr>
        <w:t>Nombre d’hommes</w:t>
      </w:r>
      <w:r w:rsidRPr="004B792B">
        <w:rPr>
          <w:rFonts w:ascii="Cavolini" w:eastAsia="Times New Roman" w:hAnsi="Cavolini" w:cs="Cavolini"/>
          <w:kern w:val="0"/>
          <w:sz w:val="20"/>
          <w:szCs w:val="20"/>
          <w:lang w:eastAsia="fr-FR"/>
          <w14:ligatures w14:val="none"/>
        </w:rPr>
        <w:t xml:space="preserve"> : 29 (62 %) </w:t>
      </w:r>
    </w:p>
    <w:p w14:paraId="55B128EF" w14:textId="10912B5E" w:rsidR="004B792B" w:rsidRPr="004B792B" w:rsidRDefault="004B792B" w:rsidP="004B792B">
      <w:pPr>
        <w:spacing w:before="100" w:beforeAutospacing="1" w:after="100" w:afterAutospacing="1" w:line="240" w:lineRule="auto"/>
        <w:ind w:left="720"/>
        <w:rPr>
          <w:rFonts w:ascii="Cavolini" w:eastAsia="Times New Roman" w:hAnsi="Cavolini" w:cs="Cavolini"/>
          <w:color w:val="EE0000"/>
          <w:kern w:val="0"/>
          <w:sz w:val="20"/>
          <w:szCs w:val="20"/>
          <w:lang w:eastAsia="fr-FR"/>
          <w14:ligatures w14:val="none"/>
        </w:rPr>
      </w:pPr>
      <w:r>
        <w:rPr>
          <w:rFonts w:ascii="Cavolini" w:eastAsia="Times New Roman" w:hAnsi="Cavolini" w:cs="Cavolini"/>
          <w:noProof/>
          <w:color w:val="EE0000"/>
          <w:kern w:val="0"/>
          <w:sz w:val="20"/>
          <w:szCs w:val="20"/>
          <w:lang w:eastAsia="fr-FR"/>
          <w14:ligatures w14:val="none"/>
        </w:rPr>
        <w:lastRenderedPageBreak/>
        <w:drawing>
          <wp:inline distT="0" distB="0" distL="0" distR="0" wp14:anchorId="226DD5E0" wp14:editId="5D5B64FA">
            <wp:extent cx="2819400" cy="1697115"/>
            <wp:effectExtent l="0" t="0" r="0" b="0"/>
            <wp:docPr id="11976730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849" cy="1707016"/>
                    </a:xfrm>
                    <a:prstGeom prst="rect">
                      <a:avLst/>
                    </a:prstGeom>
                    <a:noFill/>
                  </pic:spPr>
                </pic:pic>
              </a:graphicData>
            </a:graphic>
          </wp:inline>
        </w:drawing>
      </w:r>
    </w:p>
    <w:p w14:paraId="6158932E"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chiffres montrent une </w:t>
      </w:r>
      <w:r w:rsidRPr="00762E58">
        <w:rPr>
          <w:rFonts w:ascii="Cavolini" w:eastAsia="Times New Roman" w:hAnsi="Cavolini" w:cs="Cavolini"/>
          <w:b/>
          <w:bCs/>
          <w:kern w:val="0"/>
          <w:sz w:val="20"/>
          <w:szCs w:val="20"/>
          <w:lang w:eastAsia="fr-FR"/>
          <w14:ligatures w14:val="none"/>
        </w:rPr>
        <w:t>représentation équilibrée</w:t>
      </w:r>
      <w:r w:rsidRPr="00762E58">
        <w:rPr>
          <w:rFonts w:ascii="Cavolini" w:eastAsia="Times New Roman" w:hAnsi="Cavolini" w:cs="Cavolini"/>
          <w:kern w:val="0"/>
          <w:sz w:val="20"/>
          <w:szCs w:val="20"/>
          <w:lang w:eastAsia="fr-FR"/>
          <w14:ligatures w14:val="none"/>
        </w:rPr>
        <w:t>, avec des initiatives en cours pour promouvoir la parité, notamment dans les postes à responsabilité et dans les fonctions stratégiques.</w:t>
      </w:r>
    </w:p>
    <w:p w14:paraId="1E13307E"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4.2 Répartition par tranche d’âge</w:t>
      </w:r>
    </w:p>
    <w:p w14:paraId="61381103" w14:textId="6E373443"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NMBP suit attentivement la répartition des collaborateurs selon les tranches d’âge afin de </w:t>
      </w:r>
      <w:r w:rsidRPr="00762E58">
        <w:rPr>
          <w:rFonts w:ascii="Cavolini" w:eastAsia="Times New Roman" w:hAnsi="Cavolini" w:cs="Cavolini"/>
          <w:b/>
          <w:bCs/>
          <w:kern w:val="0"/>
          <w:sz w:val="20"/>
          <w:szCs w:val="20"/>
          <w:lang w:eastAsia="fr-FR"/>
          <w14:ligatures w14:val="none"/>
        </w:rPr>
        <w:t>favoriser le renouvellement générationnel et la transmission des compétences</w:t>
      </w:r>
      <w:r w:rsidRPr="00762E58">
        <w:rPr>
          <w:rFonts w:ascii="Cavolini" w:eastAsia="Times New Roman" w:hAnsi="Cavolini" w:cs="Cavolini"/>
          <w:kern w:val="0"/>
          <w:sz w:val="20"/>
          <w:szCs w:val="20"/>
          <w:lang w:eastAsia="fr-FR"/>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7"/>
        <w:gridCol w:w="2680"/>
      </w:tblGrid>
      <w:tr w:rsidR="00D97116" w:rsidRPr="00762E58" w14:paraId="59EC85AF" w14:textId="77777777">
        <w:trPr>
          <w:tblHeader/>
          <w:tblCellSpacing w:w="15" w:type="dxa"/>
        </w:trPr>
        <w:tc>
          <w:tcPr>
            <w:tcW w:w="0" w:type="auto"/>
            <w:vAlign w:val="center"/>
            <w:hideMark/>
          </w:tcPr>
          <w:p w14:paraId="3EF1859E" w14:textId="77777777" w:rsidR="00EF136A" w:rsidRPr="00762E58" w:rsidRDefault="00EF136A" w:rsidP="00EF136A">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Tranche d’âge</w:t>
            </w:r>
          </w:p>
        </w:tc>
        <w:tc>
          <w:tcPr>
            <w:tcW w:w="0" w:type="auto"/>
            <w:vAlign w:val="center"/>
            <w:hideMark/>
          </w:tcPr>
          <w:p w14:paraId="529FDCF5" w14:textId="008DF6A3" w:rsidR="00EF136A" w:rsidRPr="00762E58" w:rsidRDefault="00EF136A" w:rsidP="00EF136A">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salariés 2025</w:t>
            </w:r>
          </w:p>
        </w:tc>
      </w:tr>
      <w:tr w:rsidR="00D97116" w:rsidRPr="00762E58" w14:paraId="648963BE" w14:textId="77777777">
        <w:trPr>
          <w:tblCellSpacing w:w="15" w:type="dxa"/>
        </w:trPr>
        <w:tc>
          <w:tcPr>
            <w:tcW w:w="0" w:type="auto"/>
            <w:vAlign w:val="center"/>
            <w:hideMark/>
          </w:tcPr>
          <w:p w14:paraId="61D16CE1"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&lt; 30 ans</w:t>
            </w:r>
          </w:p>
        </w:tc>
        <w:tc>
          <w:tcPr>
            <w:tcW w:w="0" w:type="auto"/>
            <w:vAlign w:val="center"/>
            <w:hideMark/>
          </w:tcPr>
          <w:p w14:paraId="3A4AD991"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6</w:t>
            </w:r>
          </w:p>
        </w:tc>
      </w:tr>
      <w:tr w:rsidR="00D97116" w:rsidRPr="00762E58" w14:paraId="51234B91" w14:textId="77777777">
        <w:trPr>
          <w:tblCellSpacing w:w="15" w:type="dxa"/>
        </w:trPr>
        <w:tc>
          <w:tcPr>
            <w:tcW w:w="0" w:type="auto"/>
            <w:vAlign w:val="center"/>
            <w:hideMark/>
          </w:tcPr>
          <w:p w14:paraId="05C46896"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30-39 ans</w:t>
            </w:r>
          </w:p>
        </w:tc>
        <w:tc>
          <w:tcPr>
            <w:tcW w:w="0" w:type="auto"/>
            <w:vAlign w:val="center"/>
            <w:hideMark/>
          </w:tcPr>
          <w:p w14:paraId="5AECFFEF" w14:textId="10301DF5"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13</w:t>
            </w:r>
          </w:p>
        </w:tc>
      </w:tr>
      <w:tr w:rsidR="00D97116" w:rsidRPr="00762E58" w14:paraId="1F4FCA3F" w14:textId="77777777">
        <w:trPr>
          <w:tblCellSpacing w:w="15" w:type="dxa"/>
        </w:trPr>
        <w:tc>
          <w:tcPr>
            <w:tcW w:w="0" w:type="auto"/>
            <w:vAlign w:val="center"/>
            <w:hideMark/>
          </w:tcPr>
          <w:p w14:paraId="5216C80D"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40-49 ans</w:t>
            </w:r>
          </w:p>
        </w:tc>
        <w:tc>
          <w:tcPr>
            <w:tcW w:w="0" w:type="auto"/>
            <w:vAlign w:val="center"/>
            <w:hideMark/>
          </w:tcPr>
          <w:p w14:paraId="4F057469" w14:textId="61F129CB"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13</w:t>
            </w:r>
          </w:p>
        </w:tc>
      </w:tr>
      <w:tr w:rsidR="00D97116" w:rsidRPr="00762E58" w14:paraId="226CB986" w14:textId="77777777">
        <w:trPr>
          <w:tblCellSpacing w:w="15" w:type="dxa"/>
        </w:trPr>
        <w:tc>
          <w:tcPr>
            <w:tcW w:w="0" w:type="auto"/>
            <w:vAlign w:val="center"/>
            <w:hideMark/>
          </w:tcPr>
          <w:p w14:paraId="530E8E27"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mbria Math" w:eastAsia="Times New Roman" w:hAnsi="Cambria Math" w:cs="Cambria Math"/>
                <w:kern w:val="0"/>
                <w:sz w:val="20"/>
                <w:szCs w:val="20"/>
                <w:lang w:eastAsia="fr-FR"/>
                <w14:ligatures w14:val="none"/>
              </w:rPr>
              <w:t>≥</w:t>
            </w:r>
            <w:r w:rsidRPr="00762E58">
              <w:rPr>
                <w:rFonts w:ascii="Cavolini" w:eastAsia="Times New Roman" w:hAnsi="Cavolini" w:cs="Cavolini"/>
                <w:kern w:val="0"/>
                <w:sz w:val="20"/>
                <w:szCs w:val="20"/>
                <w:lang w:eastAsia="fr-FR"/>
                <w14:ligatures w14:val="none"/>
              </w:rPr>
              <w:t xml:space="preserve"> 50 ans</w:t>
            </w:r>
          </w:p>
        </w:tc>
        <w:tc>
          <w:tcPr>
            <w:tcW w:w="0" w:type="auto"/>
            <w:vAlign w:val="center"/>
            <w:hideMark/>
          </w:tcPr>
          <w:p w14:paraId="70706201" w14:textId="78E2ABB9"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15</w:t>
            </w:r>
          </w:p>
        </w:tc>
      </w:tr>
    </w:tbl>
    <w:p w14:paraId="54814ABC" w14:textId="3108BF7E" w:rsidR="00202865" w:rsidRPr="00762E58" w:rsidRDefault="000B1A4B" w:rsidP="00EF136A">
      <w:pPr>
        <w:spacing w:before="100" w:beforeAutospacing="1" w:after="100" w:afterAutospacing="1" w:line="240" w:lineRule="auto"/>
        <w:rPr>
          <w:rFonts w:ascii="Cavolini" w:eastAsia="Times New Roman" w:hAnsi="Cavolini" w:cs="Cavolini"/>
          <w:b/>
          <w:bCs/>
          <w:color w:val="EE0000"/>
          <w:kern w:val="0"/>
          <w:sz w:val="20"/>
          <w:szCs w:val="20"/>
          <w:lang w:eastAsia="fr-FR"/>
          <w14:ligatures w14:val="none"/>
        </w:rPr>
      </w:pPr>
      <w:r>
        <w:rPr>
          <w:rFonts w:ascii="Cambria Math" w:eastAsia="Times New Roman" w:hAnsi="Cambria Math" w:cs="Cambria Math"/>
          <w:noProof/>
          <w:kern w:val="0"/>
          <w:sz w:val="20"/>
          <w:szCs w:val="20"/>
          <w:lang w:eastAsia="fr-FR"/>
          <w14:ligatures w14:val="none"/>
        </w:rPr>
        <w:drawing>
          <wp:anchor distT="0" distB="0" distL="114300" distR="114300" simplePos="0" relativeHeight="251661312" behindDoc="1" locked="0" layoutInCell="1" allowOverlap="1" wp14:anchorId="56480521" wp14:editId="2D7FD1ED">
            <wp:simplePos x="0" y="0"/>
            <wp:positionH relativeFrom="column">
              <wp:posOffset>90805</wp:posOffset>
            </wp:positionH>
            <wp:positionV relativeFrom="paragraph">
              <wp:posOffset>226695</wp:posOffset>
            </wp:positionV>
            <wp:extent cx="2781300" cy="1884045"/>
            <wp:effectExtent l="0" t="0" r="0" b="1905"/>
            <wp:wrapTight wrapText="bothSides">
              <wp:wrapPolygon edited="0">
                <wp:start x="0" y="0"/>
                <wp:lineTo x="0" y="21403"/>
                <wp:lineTo x="21452" y="21403"/>
                <wp:lineTo x="21452" y="0"/>
                <wp:lineTo x="0" y="0"/>
              </wp:wrapPolygon>
            </wp:wrapTight>
            <wp:docPr id="124509047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1884045"/>
                    </a:xfrm>
                    <a:prstGeom prst="rect">
                      <a:avLst/>
                    </a:prstGeom>
                    <a:noFill/>
                  </pic:spPr>
                </pic:pic>
              </a:graphicData>
            </a:graphic>
            <wp14:sizeRelH relativeFrom="margin">
              <wp14:pctWidth>0</wp14:pctWidth>
            </wp14:sizeRelH>
            <wp14:sizeRelV relativeFrom="margin">
              <wp14:pctHeight>0</wp14:pctHeight>
            </wp14:sizeRelV>
          </wp:anchor>
        </w:drawing>
      </w:r>
    </w:p>
    <w:p w14:paraId="3B5F2E51" w14:textId="3E17C5B6" w:rsidR="00D97116" w:rsidRDefault="00D97116"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5DDFE412" w14:textId="0D405E83" w:rsidR="00D97116" w:rsidRDefault="00D97116"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5E02B43D" w14:textId="6DDE31F8" w:rsidR="00D97116" w:rsidRDefault="00D97116"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55C371FE" w14:textId="77777777" w:rsidR="00D97116" w:rsidRDefault="00D97116"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4B6028B2" w14:textId="77777777" w:rsidR="00A94A05" w:rsidRDefault="00A94A05"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40161894" w14:textId="60CA4905"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Cette distribution montre un </w:t>
      </w:r>
      <w:r w:rsidRPr="00762E58">
        <w:rPr>
          <w:rFonts w:ascii="Cavolini" w:eastAsia="Times New Roman" w:hAnsi="Cavolini" w:cs="Cavolini"/>
          <w:b/>
          <w:bCs/>
          <w:kern w:val="0"/>
          <w:sz w:val="20"/>
          <w:szCs w:val="20"/>
          <w:lang w:eastAsia="fr-FR"/>
          <w14:ligatures w14:val="none"/>
        </w:rPr>
        <w:t>équilibre entre expérience et renouvellement</w:t>
      </w:r>
      <w:r w:rsidRPr="00762E58">
        <w:rPr>
          <w:rFonts w:ascii="Cavolini" w:eastAsia="Times New Roman" w:hAnsi="Cavolini" w:cs="Cavolini"/>
          <w:kern w:val="0"/>
          <w:sz w:val="20"/>
          <w:szCs w:val="20"/>
          <w:lang w:eastAsia="fr-FR"/>
          <w14:ligatures w14:val="none"/>
        </w:rPr>
        <w:t>, permettant de combiner expertise et innovation au sein des équipes.</w:t>
      </w:r>
    </w:p>
    <w:p w14:paraId="2AB9C9DF"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4.3 Inclusion des travailleurs handicapés</w:t>
      </w:r>
    </w:p>
    <w:p w14:paraId="34823D44"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La politique RSE de NMBP inclut le soutien à l’emploi des personnes en situation de handicap :</w:t>
      </w:r>
    </w:p>
    <w:p w14:paraId="03751799" w14:textId="77777777" w:rsidR="00EF136A" w:rsidRPr="00762E58" w:rsidRDefault="00EF136A" w:rsidP="00EF136A">
      <w:pPr>
        <w:numPr>
          <w:ilvl w:val="0"/>
          <w:numId w:val="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de travailleurs handicapés en poste</w:t>
      </w:r>
      <w:r w:rsidRPr="00762E58">
        <w:rPr>
          <w:rFonts w:ascii="Cavolini" w:eastAsia="Times New Roman" w:hAnsi="Cavolini" w:cs="Cavolini"/>
          <w:kern w:val="0"/>
          <w:sz w:val="20"/>
          <w:szCs w:val="20"/>
          <w:lang w:eastAsia="fr-FR"/>
          <w14:ligatures w14:val="none"/>
        </w:rPr>
        <w:t xml:space="preserve"> : 0 </w:t>
      </w:r>
    </w:p>
    <w:p w14:paraId="3E16FD68" w14:textId="77777777" w:rsidR="00EF136A" w:rsidRPr="00762E58" w:rsidRDefault="00EF136A" w:rsidP="00EF136A">
      <w:pPr>
        <w:numPr>
          <w:ilvl w:val="0"/>
          <w:numId w:val="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ETP en emploi indirect (via PROMUT)</w:t>
      </w:r>
      <w:r w:rsidRPr="00762E58">
        <w:rPr>
          <w:rFonts w:ascii="Cavolini" w:eastAsia="Times New Roman" w:hAnsi="Cavolini" w:cs="Cavolini"/>
          <w:kern w:val="0"/>
          <w:sz w:val="20"/>
          <w:szCs w:val="20"/>
          <w:lang w:eastAsia="fr-FR"/>
          <w14:ligatures w14:val="none"/>
        </w:rPr>
        <w:t xml:space="preserve"> : 2,6 </w:t>
      </w:r>
    </w:p>
    <w:p w14:paraId="13045ACC" w14:textId="77777777" w:rsidR="00EF136A" w:rsidRPr="00762E58" w:rsidRDefault="00EF136A" w:rsidP="00EF136A">
      <w:pPr>
        <w:numPr>
          <w:ilvl w:val="0"/>
          <w:numId w:val="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Taux de travailleurs handicapés</w:t>
      </w:r>
      <w:r w:rsidRPr="00762E58">
        <w:rPr>
          <w:rFonts w:ascii="Cavolini" w:eastAsia="Times New Roman" w:hAnsi="Cavolini" w:cs="Cavolini"/>
          <w:kern w:val="0"/>
          <w:sz w:val="20"/>
          <w:szCs w:val="20"/>
          <w:lang w:eastAsia="fr-FR"/>
          <w14:ligatures w14:val="none"/>
        </w:rPr>
        <w:t xml:space="preserve"> : 0 % en emploi direct </w:t>
      </w:r>
    </w:p>
    <w:p w14:paraId="291BF9AF"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lastRenderedPageBreak/>
        <w:t xml:space="preserve">NMBP continue de collaborer avec des partenaires pour </w:t>
      </w:r>
      <w:r w:rsidRPr="00762E58">
        <w:rPr>
          <w:rFonts w:ascii="Cavolini" w:eastAsia="Times New Roman" w:hAnsi="Cavolini" w:cs="Cavolini"/>
          <w:b/>
          <w:bCs/>
          <w:kern w:val="0"/>
          <w:sz w:val="20"/>
          <w:szCs w:val="20"/>
          <w:lang w:eastAsia="fr-FR"/>
          <w14:ligatures w14:val="none"/>
        </w:rPr>
        <w:t>favoriser l’inclusion professionnelle</w:t>
      </w:r>
      <w:r w:rsidRPr="00762E58">
        <w:rPr>
          <w:rFonts w:ascii="Cavolini" w:eastAsia="Times New Roman" w:hAnsi="Cavolini" w:cs="Cavolini"/>
          <w:kern w:val="0"/>
          <w:sz w:val="20"/>
          <w:szCs w:val="20"/>
          <w:lang w:eastAsia="fr-FR"/>
          <w14:ligatures w14:val="none"/>
        </w:rPr>
        <w:t xml:space="preserve"> et promouvoir l’emploi indirect dans le respect des obligations légales.</w:t>
      </w:r>
    </w:p>
    <w:p w14:paraId="3146838B"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4.4 Diversité culturelle et nationalités</w:t>
      </w:r>
    </w:p>
    <w:p w14:paraId="79314495"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La diversité culturelle est également suivie afin de renforcer l’ouverture et la richesse des équipes :</w:t>
      </w:r>
    </w:p>
    <w:p w14:paraId="72210734" w14:textId="77777777" w:rsidR="00EF136A" w:rsidRPr="00762E58" w:rsidRDefault="00EF136A" w:rsidP="00EF136A">
      <w:pPr>
        <w:numPr>
          <w:ilvl w:val="0"/>
          <w:numId w:val="9"/>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Taux de salariés de nationalité étrangère</w:t>
      </w:r>
      <w:r w:rsidRPr="00762E58">
        <w:rPr>
          <w:rFonts w:ascii="Cavolini" w:eastAsia="Times New Roman" w:hAnsi="Cavolini" w:cs="Cavolini"/>
          <w:kern w:val="0"/>
          <w:sz w:val="20"/>
          <w:szCs w:val="20"/>
          <w:lang w:eastAsia="fr-FR"/>
          <w14:ligatures w14:val="none"/>
        </w:rPr>
        <w:t xml:space="preserve"> : 11 % </w:t>
      </w:r>
    </w:p>
    <w:p w14:paraId="781E587D"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Cette diversité contribue à </w:t>
      </w:r>
      <w:r w:rsidRPr="00762E58">
        <w:rPr>
          <w:rFonts w:ascii="Cavolini" w:eastAsia="Times New Roman" w:hAnsi="Cavolini" w:cs="Cavolini"/>
          <w:b/>
          <w:bCs/>
          <w:kern w:val="0"/>
          <w:sz w:val="20"/>
          <w:szCs w:val="20"/>
          <w:lang w:eastAsia="fr-FR"/>
          <w14:ligatures w14:val="none"/>
        </w:rPr>
        <w:t>un environnement de travail multiculturel</w:t>
      </w:r>
      <w:r w:rsidRPr="00762E58">
        <w:rPr>
          <w:rFonts w:ascii="Cavolini" w:eastAsia="Times New Roman" w:hAnsi="Cavolini" w:cs="Cavolini"/>
          <w:kern w:val="0"/>
          <w:sz w:val="20"/>
          <w:szCs w:val="20"/>
          <w:lang w:eastAsia="fr-FR"/>
          <w14:ligatures w14:val="none"/>
        </w:rPr>
        <w:t>, stimulant l’innovation et le partage des compétences.</w:t>
      </w:r>
    </w:p>
    <w:p w14:paraId="3F35A454"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4.5 Objectifs et perspectives</w:t>
      </w:r>
    </w:p>
    <w:p w14:paraId="07EDFA2B"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Dans le cadre de sa politique RSE, NMBP prévoit pour les années à venir :</w:t>
      </w:r>
    </w:p>
    <w:p w14:paraId="4FA2FA51" w14:textId="77777777" w:rsidR="00EF136A" w:rsidRPr="00762E58" w:rsidRDefault="00EF136A" w:rsidP="00EF136A">
      <w:pPr>
        <w:numPr>
          <w:ilvl w:val="0"/>
          <w:numId w:val="10"/>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Renforcer la parité hommes/femmes à tous les niveaux de responsabilité. </w:t>
      </w:r>
    </w:p>
    <w:p w14:paraId="3A69E632" w14:textId="77777777" w:rsidR="00EF136A" w:rsidRPr="00762E58" w:rsidRDefault="00EF136A" w:rsidP="00EF136A">
      <w:pPr>
        <w:numPr>
          <w:ilvl w:val="0"/>
          <w:numId w:val="10"/>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Maintenir l’équilibre intergénérationnel et favoriser la transmission des compétences. </w:t>
      </w:r>
    </w:p>
    <w:p w14:paraId="0BB0CDCE" w14:textId="77777777" w:rsidR="00EF136A" w:rsidRPr="00762E58" w:rsidRDefault="00EF136A" w:rsidP="00EF136A">
      <w:pPr>
        <w:numPr>
          <w:ilvl w:val="0"/>
          <w:numId w:val="10"/>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Développer l’intégration et le soutien des travailleurs handicapés, direct ou indirect. </w:t>
      </w:r>
    </w:p>
    <w:p w14:paraId="18D40FCF" w14:textId="77777777" w:rsidR="00EF136A" w:rsidRPr="00762E58" w:rsidRDefault="00EF136A" w:rsidP="00EF136A">
      <w:pPr>
        <w:numPr>
          <w:ilvl w:val="0"/>
          <w:numId w:val="10"/>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Encourager la diversité culturelle et l’inclusion dans tous les processus RH. </w:t>
      </w:r>
    </w:p>
    <w:p w14:paraId="1A6F45FA"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actions s’inscrivent dans une démarche </w:t>
      </w:r>
      <w:r w:rsidRPr="00762E58">
        <w:rPr>
          <w:rFonts w:ascii="Cavolini" w:eastAsia="Times New Roman" w:hAnsi="Cavolini" w:cs="Cavolini"/>
          <w:b/>
          <w:bCs/>
          <w:kern w:val="0"/>
          <w:sz w:val="20"/>
          <w:szCs w:val="20"/>
          <w:lang w:eastAsia="fr-FR"/>
          <w14:ligatures w14:val="none"/>
        </w:rPr>
        <w:t>de respect des droits humains</w:t>
      </w:r>
      <w:r w:rsidRPr="00762E58">
        <w:rPr>
          <w:rFonts w:ascii="Cavolini" w:eastAsia="Times New Roman" w:hAnsi="Cavolini" w:cs="Cavolini"/>
          <w:kern w:val="0"/>
          <w:sz w:val="20"/>
          <w:szCs w:val="20"/>
          <w:lang w:eastAsia="fr-FR"/>
          <w14:ligatures w14:val="none"/>
        </w:rPr>
        <w:t>, d’équité et de valorisation de la diversité, conformément aux engagements éthiques de NMBP.</w:t>
      </w:r>
    </w:p>
    <w:p w14:paraId="0DC38868" w14:textId="77777777" w:rsidR="00EF136A" w:rsidRPr="000B34DA" w:rsidRDefault="00EF136A" w:rsidP="00EF136A">
      <w:pPr>
        <w:spacing w:before="100" w:beforeAutospacing="1" w:after="100" w:afterAutospacing="1" w:line="240" w:lineRule="auto"/>
        <w:outlineLvl w:val="1"/>
        <w:rPr>
          <w:rFonts w:ascii="Cavolini" w:eastAsia="Times New Roman" w:hAnsi="Cavolini" w:cs="Cavolini"/>
          <w:b/>
          <w:bCs/>
          <w:color w:val="156082" w:themeColor="accent1"/>
          <w:kern w:val="0"/>
          <w:sz w:val="24"/>
          <w:szCs w:val="24"/>
          <w:u w:val="single"/>
          <w:lang w:eastAsia="fr-FR"/>
          <w14:ligatures w14:val="none"/>
        </w:rPr>
      </w:pPr>
      <w:r w:rsidRPr="000B34DA">
        <w:rPr>
          <w:rFonts w:ascii="Cavolini" w:eastAsia="Times New Roman" w:hAnsi="Cavolini" w:cs="Cavolini"/>
          <w:b/>
          <w:bCs/>
          <w:color w:val="156082" w:themeColor="accent1"/>
          <w:kern w:val="0"/>
          <w:sz w:val="24"/>
          <w:szCs w:val="24"/>
          <w:u w:val="single"/>
          <w:lang w:eastAsia="fr-FR"/>
          <w14:ligatures w14:val="none"/>
        </w:rPr>
        <w:t>5. Environnement et consommation des ressources</w:t>
      </w:r>
    </w:p>
    <w:p w14:paraId="2154BCE0"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NMBP s’engage à </w:t>
      </w:r>
      <w:r w:rsidRPr="00762E58">
        <w:rPr>
          <w:rFonts w:ascii="Cavolini" w:eastAsia="Times New Roman" w:hAnsi="Cavolini" w:cs="Cavolini"/>
          <w:b/>
          <w:bCs/>
          <w:kern w:val="0"/>
          <w:sz w:val="20"/>
          <w:szCs w:val="20"/>
          <w:lang w:eastAsia="fr-FR"/>
          <w14:ligatures w14:val="none"/>
        </w:rPr>
        <w:t>réduire son impact environnemental</w:t>
      </w:r>
      <w:r w:rsidRPr="00762E58">
        <w:rPr>
          <w:rFonts w:ascii="Cavolini" w:eastAsia="Times New Roman" w:hAnsi="Cavolini" w:cs="Cavolini"/>
          <w:kern w:val="0"/>
          <w:sz w:val="20"/>
          <w:szCs w:val="20"/>
          <w:lang w:eastAsia="fr-FR"/>
          <w14:ligatures w14:val="none"/>
        </w:rPr>
        <w:t xml:space="preserve"> et à optimiser la consommation des ressources dans ses activités de production. La politique environnementale repose sur la </w:t>
      </w:r>
      <w:r w:rsidRPr="00762E58">
        <w:rPr>
          <w:rFonts w:ascii="Cavolini" w:eastAsia="Times New Roman" w:hAnsi="Cavolini" w:cs="Cavolini"/>
          <w:b/>
          <w:bCs/>
          <w:kern w:val="0"/>
          <w:sz w:val="20"/>
          <w:szCs w:val="20"/>
          <w:lang w:eastAsia="fr-FR"/>
          <w14:ligatures w14:val="none"/>
        </w:rPr>
        <w:t>prévention des pollutions, la maîtrise de l’énergie et la valorisation des déchets</w:t>
      </w:r>
      <w:r w:rsidRPr="00762E58">
        <w:rPr>
          <w:rFonts w:ascii="Cavolini" w:eastAsia="Times New Roman" w:hAnsi="Cavolini" w:cs="Cavolini"/>
          <w:kern w:val="0"/>
          <w:sz w:val="20"/>
          <w:szCs w:val="20"/>
          <w:lang w:eastAsia="fr-FR"/>
          <w14:ligatures w14:val="none"/>
        </w:rPr>
        <w:t>, conformément aux normes en vigueur et aux objectifs de développement durable.</w:t>
      </w:r>
    </w:p>
    <w:p w14:paraId="4ADE8E9A"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5.1 Emissions de gaz à effet de serre (GES)</w:t>
      </w:r>
    </w:p>
    <w:p w14:paraId="571190BF"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La société mesure et suit ses émissions de GES selon les scopes 1, 2 et 3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01"/>
        <w:gridCol w:w="2171"/>
      </w:tblGrid>
      <w:tr w:rsidR="00EF136A" w:rsidRPr="00762E58" w14:paraId="7DB7099A" w14:textId="77777777">
        <w:trPr>
          <w:tblHeader/>
          <w:tblCellSpacing w:w="15" w:type="dxa"/>
        </w:trPr>
        <w:tc>
          <w:tcPr>
            <w:tcW w:w="0" w:type="auto"/>
            <w:vAlign w:val="center"/>
            <w:hideMark/>
          </w:tcPr>
          <w:p w14:paraId="57EAD151" w14:textId="77777777" w:rsidR="00EF136A" w:rsidRPr="00762E58" w:rsidRDefault="00EF136A" w:rsidP="00EF136A">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Scope</w:t>
            </w:r>
          </w:p>
        </w:tc>
        <w:tc>
          <w:tcPr>
            <w:tcW w:w="0" w:type="auto"/>
            <w:vAlign w:val="center"/>
            <w:hideMark/>
          </w:tcPr>
          <w:p w14:paraId="666CF9C6" w14:textId="77777777" w:rsidR="00EF136A" w:rsidRPr="00762E58" w:rsidRDefault="00EF136A" w:rsidP="00EF136A">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2025 (tonnes CO</w:t>
            </w:r>
            <w:r w:rsidRPr="00762E58">
              <w:rPr>
                <w:rFonts w:ascii="Cambria Math" w:eastAsia="Times New Roman" w:hAnsi="Cambria Math" w:cs="Cambria Math"/>
                <w:b/>
                <w:bCs/>
                <w:kern w:val="0"/>
                <w:sz w:val="20"/>
                <w:szCs w:val="20"/>
                <w:lang w:eastAsia="fr-FR"/>
                <w14:ligatures w14:val="none"/>
              </w:rPr>
              <w:t>₂</w:t>
            </w:r>
            <w:r w:rsidRPr="00762E58">
              <w:rPr>
                <w:rFonts w:ascii="Cavolini" w:eastAsia="Times New Roman" w:hAnsi="Cavolini" w:cs="Cavolini"/>
                <w:b/>
                <w:bCs/>
                <w:kern w:val="0"/>
                <w:sz w:val="20"/>
                <w:szCs w:val="20"/>
                <w:lang w:eastAsia="fr-FR"/>
                <w14:ligatures w14:val="none"/>
              </w:rPr>
              <w:t xml:space="preserve"> eq)</w:t>
            </w:r>
          </w:p>
        </w:tc>
      </w:tr>
      <w:tr w:rsidR="00EF136A" w:rsidRPr="00762E58" w14:paraId="380F11AC" w14:textId="77777777">
        <w:trPr>
          <w:tblCellSpacing w:w="15" w:type="dxa"/>
        </w:trPr>
        <w:tc>
          <w:tcPr>
            <w:tcW w:w="0" w:type="auto"/>
            <w:vAlign w:val="center"/>
            <w:hideMark/>
          </w:tcPr>
          <w:p w14:paraId="71F84FA1"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Scope 1 – Directes</w:t>
            </w:r>
          </w:p>
        </w:tc>
        <w:tc>
          <w:tcPr>
            <w:tcW w:w="0" w:type="auto"/>
            <w:vAlign w:val="center"/>
            <w:hideMark/>
          </w:tcPr>
          <w:p w14:paraId="5E13C8E6"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36</w:t>
            </w:r>
          </w:p>
        </w:tc>
      </w:tr>
      <w:tr w:rsidR="00EF136A" w:rsidRPr="00762E58" w14:paraId="18238446" w14:textId="77777777">
        <w:trPr>
          <w:tblCellSpacing w:w="15" w:type="dxa"/>
        </w:trPr>
        <w:tc>
          <w:tcPr>
            <w:tcW w:w="0" w:type="auto"/>
            <w:vAlign w:val="center"/>
            <w:hideMark/>
          </w:tcPr>
          <w:p w14:paraId="3525BF76"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Scope 2 – Indirectes liées à l’électricité</w:t>
            </w:r>
          </w:p>
        </w:tc>
        <w:tc>
          <w:tcPr>
            <w:tcW w:w="0" w:type="auto"/>
            <w:vAlign w:val="center"/>
            <w:hideMark/>
          </w:tcPr>
          <w:p w14:paraId="042EF2C1"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180</w:t>
            </w:r>
          </w:p>
        </w:tc>
      </w:tr>
      <w:tr w:rsidR="00EF136A" w:rsidRPr="00762E58" w14:paraId="23A7A528" w14:textId="77777777">
        <w:trPr>
          <w:tblCellSpacing w:w="15" w:type="dxa"/>
        </w:trPr>
        <w:tc>
          <w:tcPr>
            <w:tcW w:w="0" w:type="auto"/>
            <w:vAlign w:val="center"/>
            <w:hideMark/>
          </w:tcPr>
          <w:p w14:paraId="259620B6"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Scope 3 – Amont (fournisseurs, transport, déchets, déplacements)</w:t>
            </w:r>
          </w:p>
        </w:tc>
        <w:tc>
          <w:tcPr>
            <w:tcW w:w="0" w:type="auto"/>
            <w:vAlign w:val="center"/>
            <w:hideMark/>
          </w:tcPr>
          <w:p w14:paraId="0B71B133"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4 355</w:t>
            </w:r>
          </w:p>
        </w:tc>
      </w:tr>
      <w:tr w:rsidR="00EF136A" w:rsidRPr="00762E58" w14:paraId="13C7DD1A" w14:textId="77777777">
        <w:trPr>
          <w:tblCellSpacing w:w="15" w:type="dxa"/>
        </w:trPr>
        <w:tc>
          <w:tcPr>
            <w:tcW w:w="0" w:type="auto"/>
            <w:vAlign w:val="center"/>
            <w:hideMark/>
          </w:tcPr>
          <w:p w14:paraId="7177A8C6"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Scope 3 – Aval (distribution et usage des produits)</w:t>
            </w:r>
          </w:p>
        </w:tc>
        <w:tc>
          <w:tcPr>
            <w:tcW w:w="0" w:type="auto"/>
            <w:vAlign w:val="center"/>
            <w:hideMark/>
          </w:tcPr>
          <w:p w14:paraId="1692AB71"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3 350</w:t>
            </w:r>
          </w:p>
        </w:tc>
      </w:tr>
    </w:tbl>
    <w:p w14:paraId="7579FA1F"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Le ratio </w:t>
      </w:r>
      <w:r w:rsidRPr="00762E58">
        <w:rPr>
          <w:rFonts w:ascii="Cavolini" w:eastAsia="Times New Roman" w:hAnsi="Cavolini" w:cs="Cavolini"/>
          <w:b/>
          <w:bCs/>
          <w:kern w:val="0"/>
          <w:sz w:val="20"/>
          <w:szCs w:val="20"/>
          <w:lang w:eastAsia="fr-FR"/>
          <w14:ligatures w14:val="none"/>
        </w:rPr>
        <w:t>GES / tonne de produit fabriqué</w:t>
      </w:r>
      <w:r w:rsidRPr="00762E58">
        <w:rPr>
          <w:rFonts w:ascii="Cavolini" w:eastAsia="Times New Roman" w:hAnsi="Cavolini" w:cs="Cavolini"/>
          <w:kern w:val="0"/>
          <w:sz w:val="20"/>
          <w:szCs w:val="20"/>
          <w:lang w:eastAsia="fr-FR"/>
          <w14:ligatures w14:val="none"/>
        </w:rPr>
        <w:t xml:space="preserve"> :</w:t>
      </w:r>
    </w:p>
    <w:p w14:paraId="637D62A2" w14:textId="77777777" w:rsidR="00EF136A" w:rsidRPr="00762E58" w:rsidRDefault="00EF136A" w:rsidP="00EF136A">
      <w:pPr>
        <w:numPr>
          <w:ilvl w:val="0"/>
          <w:numId w:val="1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lastRenderedPageBreak/>
        <w:t xml:space="preserve">Scope 1 : 2,46 % </w:t>
      </w:r>
    </w:p>
    <w:p w14:paraId="5C3DC5EE" w14:textId="7BFC8FBA" w:rsidR="00EF136A" w:rsidRPr="00762E58" w:rsidRDefault="00EF136A" w:rsidP="00EF136A">
      <w:pPr>
        <w:numPr>
          <w:ilvl w:val="0"/>
          <w:numId w:val="1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Scope 2 : 12,30 % </w:t>
      </w:r>
    </w:p>
    <w:p w14:paraId="48DF1693" w14:textId="1679E1A1" w:rsidR="00EF136A" w:rsidRPr="00762E58" w:rsidRDefault="00EF136A" w:rsidP="00EF136A">
      <w:pPr>
        <w:numPr>
          <w:ilvl w:val="0"/>
          <w:numId w:val="1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Scope 3 : 526,66 % </w:t>
      </w:r>
    </w:p>
    <w:p w14:paraId="7BCD5251" w14:textId="0FA95615" w:rsidR="00DC24F5" w:rsidRDefault="00DC24F5" w:rsidP="00EF136A">
      <w:pPr>
        <w:spacing w:before="100" w:beforeAutospacing="1" w:after="100" w:afterAutospacing="1" w:line="240" w:lineRule="auto"/>
        <w:rPr>
          <w:rFonts w:ascii="Cavolini" w:eastAsia="Times New Roman" w:hAnsi="Cavolini" w:cs="Cavolini"/>
          <w:b/>
          <w:bCs/>
          <w:color w:val="EE0000"/>
          <w:kern w:val="0"/>
          <w:sz w:val="20"/>
          <w:szCs w:val="20"/>
          <w:lang w:eastAsia="fr-FR"/>
          <w14:ligatures w14:val="none"/>
        </w:rPr>
      </w:pPr>
      <w:r>
        <w:rPr>
          <w:noProof/>
        </w:rPr>
        <w:drawing>
          <wp:inline distT="0" distB="0" distL="0" distR="0" wp14:anchorId="3501B439" wp14:editId="7271F0F5">
            <wp:extent cx="1828800" cy="1828800"/>
            <wp:effectExtent l="0" t="0" r="0" b="0"/>
            <wp:docPr id="1834149440" name="Graphique 1">
              <a:extLst xmlns:a="http://schemas.openxmlformats.org/drawingml/2006/main">
                <a:ext uri="{FF2B5EF4-FFF2-40B4-BE49-F238E27FC236}">
                  <a16:creationId xmlns:a16="http://schemas.microsoft.com/office/drawing/2014/main" id="{697DD82D-72E7-8F93-4AEF-1D6C529B4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E0BFF" w:rsidRPr="007E0BFF">
        <w:rPr>
          <w:noProof/>
        </w:rPr>
        <w:t xml:space="preserve"> </w:t>
      </w:r>
      <w:r w:rsidR="007E0BFF">
        <w:rPr>
          <w:noProof/>
        </w:rPr>
        <w:drawing>
          <wp:inline distT="0" distB="0" distL="0" distR="0" wp14:anchorId="4449536A" wp14:editId="3B403273">
            <wp:extent cx="1819275" cy="1828800"/>
            <wp:effectExtent l="0" t="0" r="9525" b="0"/>
            <wp:docPr id="605328050" name="Graphique 1">
              <a:extLst xmlns:a="http://schemas.openxmlformats.org/drawingml/2006/main">
                <a:ext uri="{FF2B5EF4-FFF2-40B4-BE49-F238E27FC236}">
                  <a16:creationId xmlns:a16="http://schemas.microsoft.com/office/drawing/2014/main" id="{F5E941C6-63B1-D31F-D7CF-2327CF536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E0BFF" w:rsidRPr="007E0BFF">
        <w:rPr>
          <w:noProof/>
        </w:rPr>
        <w:t xml:space="preserve"> </w:t>
      </w:r>
      <w:r w:rsidR="007E0BFF">
        <w:rPr>
          <w:noProof/>
        </w:rPr>
        <w:drawing>
          <wp:inline distT="0" distB="0" distL="0" distR="0" wp14:anchorId="5A570993" wp14:editId="24F53678">
            <wp:extent cx="1924050" cy="1828800"/>
            <wp:effectExtent l="0" t="0" r="0" b="0"/>
            <wp:docPr id="1519583522" name="Graphique 1">
              <a:extLst xmlns:a="http://schemas.openxmlformats.org/drawingml/2006/main">
                <a:ext uri="{FF2B5EF4-FFF2-40B4-BE49-F238E27FC236}">
                  <a16:creationId xmlns:a16="http://schemas.microsoft.com/office/drawing/2014/main" id="{F5E941C6-63B1-D31F-D7CF-2327CF536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08FE86" w14:textId="697F78B2" w:rsidR="007E0BFF" w:rsidRPr="000B1A4B" w:rsidRDefault="00EF136A" w:rsidP="000B1A4B">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données montrent un suivi rigoureux des émissions et orientent les </w:t>
      </w:r>
      <w:r w:rsidRPr="00762E58">
        <w:rPr>
          <w:rFonts w:ascii="Cavolini" w:eastAsia="Times New Roman" w:hAnsi="Cavolini" w:cs="Cavolini"/>
          <w:b/>
          <w:bCs/>
          <w:kern w:val="0"/>
          <w:sz w:val="20"/>
          <w:szCs w:val="20"/>
          <w:lang w:eastAsia="fr-FR"/>
          <w14:ligatures w14:val="none"/>
        </w:rPr>
        <w:t>actions de réduction des impacts en amont et en aval de la production</w:t>
      </w:r>
      <w:r w:rsidRPr="00762E58">
        <w:rPr>
          <w:rFonts w:ascii="Cavolini" w:eastAsia="Times New Roman" w:hAnsi="Cavolini" w:cs="Cavolini"/>
          <w:kern w:val="0"/>
          <w:sz w:val="20"/>
          <w:szCs w:val="20"/>
          <w:lang w:eastAsia="fr-FR"/>
          <w14:ligatures w14:val="none"/>
        </w:rPr>
        <w:t>.</w:t>
      </w:r>
    </w:p>
    <w:p w14:paraId="77D62778" w14:textId="28DC2F22"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5.2 Consommation d’énergie et d’eau</w:t>
      </w:r>
    </w:p>
    <w:p w14:paraId="6DB5218C" w14:textId="0B5F9C38"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En 2025, NMBP a enregistré :</w:t>
      </w:r>
    </w:p>
    <w:p w14:paraId="58D4FAE8" w14:textId="0C24EB82" w:rsidR="00EF136A" w:rsidRPr="00762E58" w:rsidRDefault="00EF136A" w:rsidP="00EF136A">
      <w:pPr>
        <w:numPr>
          <w:ilvl w:val="0"/>
          <w:numId w:val="1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Consommation totale d’électricité</w:t>
      </w:r>
      <w:r w:rsidRPr="00762E58">
        <w:rPr>
          <w:rFonts w:ascii="Cavolini" w:eastAsia="Times New Roman" w:hAnsi="Cavolini" w:cs="Cavolini"/>
          <w:kern w:val="0"/>
          <w:sz w:val="20"/>
          <w:szCs w:val="20"/>
          <w:lang w:eastAsia="fr-FR"/>
          <w14:ligatures w14:val="none"/>
        </w:rPr>
        <w:t xml:space="preserve"> : 3 862 MWh </w:t>
      </w:r>
    </w:p>
    <w:p w14:paraId="7DAA8AA4" w14:textId="3D9383C3" w:rsidR="00EF136A" w:rsidRPr="00762E58" w:rsidRDefault="00EF136A" w:rsidP="00EF136A">
      <w:pPr>
        <w:numPr>
          <w:ilvl w:val="0"/>
          <w:numId w:val="1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Consommation totale d’électricité renouvelable</w:t>
      </w:r>
      <w:r w:rsidRPr="00762E58">
        <w:rPr>
          <w:rFonts w:ascii="Cavolini" w:eastAsia="Times New Roman" w:hAnsi="Cavolini" w:cs="Cavolini"/>
          <w:kern w:val="0"/>
          <w:sz w:val="20"/>
          <w:szCs w:val="20"/>
          <w:lang w:eastAsia="fr-FR"/>
          <w14:ligatures w14:val="none"/>
        </w:rPr>
        <w:t xml:space="preserve"> : 0 MWh </w:t>
      </w:r>
    </w:p>
    <w:p w14:paraId="1295B928" w14:textId="1EB4E8FD" w:rsidR="00EF136A" w:rsidRPr="00762E58" w:rsidRDefault="00EF136A" w:rsidP="00EF136A">
      <w:pPr>
        <w:numPr>
          <w:ilvl w:val="0"/>
          <w:numId w:val="1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Consommation totale de gaz</w:t>
      </w:r>
      <w:r w:rsidRPr="00762E58">
        <w:rPr>
          <w:rFonts w:ascii="Cavolini" w:eastAsia="Times New Roman" w:hAnsi="Cavolini" w:cs="Cavolini"/>
          <w:kern w:val="0"/>
          <w:sz w:val="20"/>
          <w:szCs w:val="20"/>
          <w:lang w:eastAsia="fr-FR"/>
          <w14:ligatures w14:val="none"/>
        </w:rPr>
        <w:t xml:space="preserve"> : 5 842 m³ </w:t>
      </w:r>
    </w:p>
    <w:p w14:paraId="14ECE583" w14:textId="682D7D13" w:rsidR="00EF136A" w:rsidRPr="00762E58" w:rsidRDefault="00EF136A" w:rsidP="00EF136A">
      <w:pPr>
        <w:numPr>
          <w:ilvl w:val="0"/>
          <w:numId w:val="1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Consommation d’eau</w:t>
      </w:r>
      <w:r w:rsidRPr="00762E58">
        <w:rPr>
          <w:rFonts w:ascii="Cavolini" w:eastAsia="Times New Roman" w:hAnsi="Cavolini" w:cs="Cavolini"/>
          <w:kern w:val="0"/>
          <w:sz w:val="20"/>
          <w:szCs w:val="20"/>
          <w:lang w:eastAsia="fr-FR"/>
          <w14:ligatures w14:val="none"/>
        </w:rPr>
        <w:t xml:space="preserve"> : 2 799 m³ </w:t>
      </w:r>
    </w:p>
    <w:p w14:paraId="5F2D8BFC" w14:textId="7760D0E8"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Les ratios par tonne de produit fabriqué :</w:t>
      </w:r>
    </w:p>
    <w:p w14:paraId="716021A1" w14:textId="3CD2F424" w:rsidR="00EF136A" w:rsidRPr="00762E58" w:rsidRDefault="00EF136A" w:rsidP="00EF136A">
      <w:pPr>
        <w:numPr>
          <w:ilvl w:val="0"/>
          <w:numId w:val="13"/>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Électricité : 2,64 MWh / t PF </w:t>
      </w:r>
    </w:p>
    <w:p w14:paraId="0FF70A96" w14:textId="369F9FAF" w:rsidR="00EF136A" w:rsidRPr="00762E58" w:rsidRDefault="00EF136A" w:rsidP="00EF136A">
      <w:pPr>
        <w:numPr>
          <w:ilvl w:val="0"/>
          <w:numId w:val="13"/>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Gaz : 3,99 m³ / t PF </w:t>
      </w:r>
    </w:p>
    <w:p w14:paraId="135DE1F4" w14:textId="5A0FE58F" w:rsidR="00EF136A" w:rsidRDefault="00381A87" w:rsidP="00EF136A">
      <w:pPr>
        <w:numPr>
          <w:ilvl w:val="0"/>
          <w:numId w:val="13"/>
        </w:numPr>
        <w:spacing w:before="100" w:beforeAutospacing="1" w:after="100" w:afterAutospacing="1" w:line="240" w:lineRule="auto"/>
        <w:rPr>
          <w:rFonts w:ascii="Cavolini" w:eastAsia="Times New Roman" w:hAnsi="Cavolini" w:cs="Cavolini"/>
          <w:kern w:val="0"/>
          <w:sz w:val="20"/>
          <w:szCs w:val="20"/>
          <w:lang w:eastAsia="fr-FR"/>
          <w14:ligatures w14:val="none"/>
        </w:rPr>
      </w:pPr>
      <w:r>
        <w:rPr>
          <w:rFonts w:ascii="Cavolini" w:eastAsia="Times New Roman" w:hAnsi="Cavolini" w:cs="Cavolini"/>
          <w:noProof/>
          <w:kern w:val="0"/>
          <w:sz w:val="20"/>
          <w:szCs w:val="20"/>
          <w:lang w:eastAsia="fr-FR"/>
          <w14:ligatures w14:val="none"/>
        </w:rPr>
        <w:drawing>
          <wp:anchor distT="0" distB="0" distL="114300" distR="114300" simplePos="0" relativeHeight="251663360" behindDoc="1" locked="0" layoutInCell="1" allowOverlap="1" wp14:anchorId="2D29EE25" wp14:editId="4C301E29">
            <wp:simplePos x="0" y="0"/>
            <wp:positionH relativeFrom="column">
              <wp:posOffset>2110105</wp:posOffset>
            </wp:positionH>
            <wp:positionV relativeFrom="paragraph">
              <wp:posOffset>269240</wp:posOffset>
            </wp:positionV>
            <wp:extent cx="2065020" cy="1745615"/>
            <wp:effectExtent l="0" t="0" r="0" b="6985"/>
            <wp:wrapNone/>
            <wp:docPr id="492369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5020" cy="1745615"/>
                    </a:xfrm>
                    <a:prstGeom prst="rect">
                      <a:avLst/>
                    </a:prstGeom>
                    <a:noFill/>
                  </pic:spPr>
                </pic:pic>
              </a:graphicData>
            </a:graphic>
          </wp:anchor>
        </w:drawing>
      </w:r>
      <w:r>
        <w:rPr>
          <w:noProof/>
        </w:rPr>
        <w:drawing>
          <wp:anchor distT="0" distB="0" distL="114300" distR="114300" simplePos="0" relativeHeight="251662336" behindDoc="1" locked="0" layoutInCell="1" allowOverlap="1" wp14:anchorId="6CC41626" wp14:editId="0AD85E0F">
            <wp:simplePos x="0" y="0"/>
            <wp:positionH relativeFrom="column">
              <wp:posOffset>4251325</wp:posOffset>
            </wp:positionH>
            <wp:positionV relativeFrom="paragraph">
              <wp:posOffset>345440</wp:posOffset>
            </wp:positionV>
            <wp:extent cx="2156460" cy="1750060"/>
            <wp:effectExtent l="0" t="0" r="15240" b="2540"/>
            <wp:wrapTight wrapText="bothSides">
              <wp:wrapPolygon edited="0">
                <wp:start x="0" y="0"/>
                <wp:lineTo x="0" y="21396"/>
                <wp:lineTo x="21562" y="21396"/>
                <wp:lineTo x="21562" y="0"/>
                <wp:lineTo x="0" y="0"/>
              </wp:wrapPolygon>
            </wp:wrapTight>
            <wp:docPr id="2059820299" name="Graphique 1">
              <a:extLst xmlns:a="http://schemas.openxmlformats.org/drawingml/2006/main">
                <a:ext uri="{FF2B5EF4-FFF2-40B4-BE49-F238E27FC236}">
                  <a16:creationId xmlns:a16="http://schemas.microsoft.com/office/drawing/2014/main" id="{5FC9C811-7C88-40B9-BBAF-96F19B38B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F136A" w:rsidRPr="00762E58">
        <w:rPr>
          <w:rFonts w:ascii="Cavolini" w:eastAsia="Times New Roman" w:hAnsi="Cavolini" w:cs="Cavolini"/>
          <w:kern w:val="0"/>
          <w:sz w:val="20"/>
          <w:szCs w:val="20"/>
          <w:lang w:eastAsia="fr-FR"/>
          <w14:ligatures w14:val="none"/>
        </w:rPr>
        <w:t xml:space="preserve">Eau : 1,91 m³ / t PF </w:t>
      </w:r>
    </w:p>
    <w:p w14:paraId="694403C2" w14:textId="37D0A327" w:rsidR="00381A87" w:rsidRPr="00762E58" w:rsidRDefault="00381A87" w:rsidP="00381A87">
      <w:pPr>
        <w:spacing w:before="100" w:beforeAutospacing="1" w:after="100" w:afterAutospacing="1" w:line="240" w:lineRule="auto"/>
        <w:rPr>
          <w:rFonts w:ascii="Cavolini" w:eastAsia="Times New Roman" w:hAnsi="Cavolini" w:cs="Cavolini"/>
          <w:kern w:val="0"/>
          <w:sz w:val="20"/>
          <w:szCs w:val="20"/>
          <w:lang w:eastAsia="fr-FR"/>
          <w14:ligatures w14:val="none"/>
        </w:rPr>
      </w:pPr>
      <w:r>
        <w:rPr>
          <w:noProof/>
        </w:rPr>
        <w:drawing>
          <wp:inline distT="0" distB="0" distL="0" distR="0" wp14:anchorId="767AB75E" wp14:editId="09B11F15">
            <wp:extent cx="1965960" cy="1583690"/>
            <wp:effectExtent l="0" t="0" r="15240" b="16510"/>
            <wp:docPr id="567125779" name="Graphique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B20FBB" w14:textId="5C0DFB59"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chiffres traduisent </w:t>
      </w:r>
      <w:r w:rsidRPr="00762E58">
        <w:rPr>
          <w:rFonts w:ascii="Cavolini" w:eastAsia="Times New Roman" w:hAnsi="Cavolini" w:cs="Cavolini"/>
          <w:b/>
          <w:bCs/>
          <w:kern w:val="0"/>
          <w:sz w:val="20"/>
          <w:szCs w:val="20"/>
          <w:lang w:eastAsia="fr-FR"/>
          <w14:ligatures w14:val="none"/>
        </w:rPr>
        <w:t>une maîtrise progressive des consommations énergétiques et de l’eau</w:t>
      </w:r>
      <w:r w:rsidRPr="00762E58">
        <w:rPr>
          <w:rFonts w:ascii="Cavolini" w:eastAsia="Times New Roman" w:hAnsi="Cavolini" w:cs="Cavolini"/>
          <w:kern w:val="0"/>
          <w:sz w:val="20"/>
          <w:szCs w:val="20"/>
          <w:lang w:eastAsia="fr-FR"/>
          <w14:ligatures w14:val="none"/>
        </w:rPr>
        <w:t>, avec un suivi annuel permettant d’identifier les axes d’amélioration.</w:t>
      </w:r>
    </w:p>
    <w:p w14:paraId="3112345A" w14:textId="77D04909"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5.3 Gestion des déchets</w:t>
      </w:r>
    </w:p>
    <w:p w14:paraId="4F7228F6" w14:textId="5A46453D" w:rsidR="000B34D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La gestion des déchets est centralisée et orientée vers la </w:t>
      </w:r>
      <w:r w:rsidRPr="00762E58">
        <w:rPr>
          <w:rFonts w:ascii="Cavolini" w:eastAsia="Times New Roman" w:hAnsi="Cavolini" w:cs="Cavolini"/>
          <w:b/>
          <w:bCs/>
          <w:kern w:val="0"/>
          <w:sz w:val="20"/>
          <w:szCs w:val="20"/>
          <w:lang w:eastAsia="fr-FR"/>
          <w14:ligatures w14:val="none"/>
        </w:rPr>
        <w:t>réduction et la valorisation</w:t>
      </w:r>
      <w:r w:rsidRPr="00762E58">
        <w:rPr>
          <w:rFonts w:ascii="Cavolini" w:eastAsia="Times New Roman" w:hAnsi="Cavolini" w:cs="Cavolini"/>
          <w:kern w:val="0"/>
          <w:sz w:val="20"/>
          <w:szCs w:val="20"/>
          <w:lang w:eastAsia="fr-FR"/>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5"/>
        <w:gridCol w:w="1713"/>
      </w:tblGrid>
      <w:tr w:rsidR="00EE7AA0" w:rsidRPr="00762E58" w14:paraId="5841FC88" w14:textId="77777777">
        <w:trPr>
          <w:tblHeader/>
          <w:tblCellSpacing w:w="15" w:type="dxa"/>
        </w:trPr>
        <w:tc>
          <w:tcPr>
            <w:tcW w:w="0" w:type="auto"/>
            <w:vAlign w:val="center"/>
            <w:hideMark/>
          </w:tcPr>
          <w:p w14:paraId="2061C8BA" w14:textId="77777777" w:rsidR="00EF136A" w:rsidRPr="00762E58" w:rsidRDefault="00EF136A" w:rsidP="00EF136A">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lastRenderedPageBreak/>
              <w:t>Type de déchet</w:t>
            </w:r>
          </w:p>
        </w:tc>
        <w:tc>
          <w:tcPr>
            <w:tcW w:w="0" w:type="auto"/>
            <w:vAlign w:val="center"/>
            <w:hideMark/>
          </w:tcPr>
          <w:p w14:paraId="625E5724" w14:textId="77777777" w:rsidR="00EF136A" w:rsidRPr="00762E58" w:rsidRDefault="00EF136A" w:rsidP="00EF136A">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2025 (t)</w:t>
            </w:r>
          </w:p>
        </w:tc>
      </w:tr>
      <w:tr w:rsidR="00EE7AA0" w:rsidRPr="00762E58" w14:paraId="161FD2F2" w14:textId="77777777">
        <w:trPr>
          <w:tblCellSpacing w:w="15" w:type="dxa"/>
        </w:trPr>
        <w:tc>
          <w:tcPr>
            <w:tcW w:w="0" w:type="auto"/>
            <w:vAlign w:val="center"/>
            <w:hideMark/>
          </w:tcPr>
          <w:p w14:paraId="7681E24B"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Matières plastiques</w:t>
            </w:r>
          </w:p>
        </w:tc>
        <w:tc>
          <w:tcPr>
            <w:tcW w:w="0" w:type="auto"/>
            <w:vAlign w:val="center"/>
            <w:hideMark/>
          </w:tcPr>
          <w:p w14:paraId="6FD33EDF"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107,17</w:t>
            </w:r>
          </w:p>
        </w:tc>
      </w:tr>
      <w:tr w:rsidR="00EE7AA0" w:rsidRPr="00762E58" w14:paraId="576CC1A5" w14:textId="77777777">
        <w:trPr>
          <w:tblCellSpacing w:w="15" w:type="dxa"/>
        </w:trPr>
        <w:tc>
          <w:tcPr>
            <w:tcW w:w="0" w:type="auto"/>
            <w:vAlign w:val="center"/>
            <w:hideMark/>
          </w:tcPr>
          <w:p w14:paraId="5DEC50F9"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Carton</w:t>
            </w:r>
          </w:p>
        </w:tc>
        <w:tc>
          <w:tcPr>
            <w:tcW w:w="0" w:type="auto"/>
            <w:vAlign w:val="center"/>
            <w:hideMark/>
          </w:tcPr>
          <w:p w14:paraId="4DEB501A"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17,58</w:t>
            </w:r>
          </w:p>
        </w:tc>
      </w:tr>
      <w:tr w:rsidR="00EE7AA0" w:rsidRPr="00762E58" w14:paraId="7A284B1F" w14:textId="77777777">
        <w:trPr>
          <w:tblCellSpacing w:w="15" w:type="dxa"/>
        </w:trPr>
        <w:tc>
          <w:tcPr>
            <w:tcW w:w="0" w:type="auto"/>
            <w:vAlign w:val="center"/>
            <w:hideMark/>
          </w:tcPr>
          <w:p w14:paraId="024DCCBC"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DIB</w:t>
            </w:r>
          </w:p>
        </w:tc>
        <w:tc>
          <w:tcPr>
            <w:tcW w:w="0" w:type="auto"/>
            <w:vAlign w:val="center"/>
            <w:hideMark/>
          </w:tcPr>
          <w:p w14:paraId="7DB3EA16"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16,38</w:t>
            </w:r>
          </w:p>
        </w:tc>
      </w:tr>
      <w:tr w:rsidR="00EE7AA0" w:rsidRPr="00762E58" w14:paraId="26C54089" w14:textId="77777777">
        <w:trPr>
          <w:tblCellSpacing w:w="15" w:type="dxa"/>
        </w:trPr>
        <w:tc>
          <w:tcPr>
            <w:tcW w:w="0" w:type="auto"/>
            <w:vAlign w:val="center"/>
            <w:hideMark/>
          </w:tcPr>
          <w:p w14:paraId="76D6E237"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Ferrailles</w:t>
            </w:r>
          </w:p>
        </w:tc>
        <w:tc>
          <w:tcPr>
            <w:tcW w:w="0" w:type="auto"/>
            <w:vAlign w:val="center"/>
            <w:hideMark/>
          </w:tcPr>
          <w:p w14:paraId="2CB13EDC"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8,88</w:t>
            </w:r>
          </w:p>
        </w:tc>
      </w:tr>
      <w:tr w:rsidR="00EE7AA0" w:rsidRPr="00762E58" w14:paraId="3FE82BA0" w14:textId="77777777">
        <w:trPr>
          <w:tblCellSpacing w:w="15" w:type="dxa"/>
        </w:trPr>
        <w:tc>
          <w:tcPr>
            <w:tcW w:w="0" w:type="auto"/>
            <w:vAlign w:val="center"/>
            <w:hideMark/>
          </w:tcPr>
          <w:p w14:paraId="78498D99"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Bois B</w:t>
            </w:r>
          </w:p>
        </w:tc>
        <w:tc>
          <w:tcPr>
            <w:tcW w:w="0" w:type="auto"/>
            <w:vAlign w:val="center"/>
            <w:hideMark/>
          </w:tcPr>
          <w:p w14:paraId="38CA31E0"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1,10</w:t>
            </w:r>
          </w:p>
        </w:tc>
      </w:tr>
      <w:tr w:rsidR="00EE7AA0" w:rsidRPr="00762E58" w14:paraId="40E1AA9C" w14:textId="77777777">
        <w:trPr>
          <w:tblCellSpacing w:w="15" w:type="dxa"/>
        </w:trPr>
        <w:tc>
          <w:tcPr>
            <w:tcW w:w="0" w:type="auto"/>
            <w:vAlign w:val="center"/>
            <w:hideMark/>
          </w:tcPr>
          <w:p w14:paraId="48DE7D61"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DIS</w:t>
            </w:r>
          </w:p>
        </w:tc>
        <w:tc>
          <w:tcPr>
            <w:tcW w:w="0" w:type="auto"/>
            <w:vAlign w:val="center"/>
            <w:hideMark/>
          </w:tcPr>
          <w:p w14:paraId="1A7CCD6E"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2,31</w:t>
            </w:r>
          </w:p>
        </w:tc>
      </w:tr>
      <w:tr w:rsidR="00EE7AA0" w:rsidRPr="00762E58" w14:paraId="5A221BAB" w14:textId="77777777">
        <w:trPr>
          <w:tblCellSpacing w:w="15" w:type="dxa"/>
        </w:trPr>
        <w:tc>
          <w:tcPr>
            <w:tcW w:w="0" w:type="auto"/>
            <w:vAlign w:val="center"/>
            <w:hideMark/>
          </w:tcPr>
          <w:p w14:paraId="2C5AFE9C"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Film plastique</w:t>
            </w:r>
          </w:p>
        </w:tc>
        <w:tc>
          <w:tcPr>
            <w:tcW w:w="0" w:type="auto"/>
            <w:vAlign w:val="center"/>
            <w:hideMark/>
          </w:tcPr>
          <w:p w14:paraId="39E67BA4"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0,66</w:t>
            </w:r>
          </w:p>
        </w:tc>
      </w:tr>
      <w:tr w:rsidR="00EE7AA0" w:rsidRPr="00762E58" w14:paraId="0E413FAA" w14:textId="77777777">
        <w:trPr>
          <w:tblCellSpacing w:w="15" w:type="dxa"/>
        </w:trPr>
        <w:tc>
          <w:tcPr>
            <w:tcW w:w="0" w:type="auto"/>
            <w:vAlign w:val="center"/>
            <w:hideMark/>
          </w:tcPr>
          <w:p w14:paraId="698C47D5"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Total déchets</w:t>
            </w:r>
          </w:p>
        </w:tc>
        <w:tc>
          <w:tcPr>
            <w:tcW w:w="0" w:type="auto"/>
            <w:vAlign w:val="center"/>
            <w:hideMark/>
          </w:tcPr>
          <w:p w14:paraId="45ACB8FB"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154,08</w:t>
            </w:r>
          </w:p>
        </w:tc>
      </w:tr>
      <w:tr w:rsidR="00EE7AA0" w:rsidRPr="00762E58" w14:paraId="69063D26" w14:textId="77777777">
        <w:trPr>
          <w:tblCellSpacing w:w="15" w:type="dxa"/>
        </w:trPr>
        <w:tc>
          <w:tcPr>
            <w:tcW w:w="0" w:type="auto"/>
            <w:vAlign w:val="center"/>
            <w:hideMark/>
          </w:tcPr>
          <w:p w14:paraId="7834255C"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Déchets valorisés</w:t>
            </w:r>
          </w:p>
        </w:tc>
        <w:tc>
          <w:tcPr>
            <w:tcW w:w="0" w:type="auto"/>
            <w:vAlign w:val="center"/>
            <w:hideMark/>
          </w:tcPr>
          <w:p w14:paraId="038A3B01"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135,39 (87,9 %)</w:t>
            </w:r>
          </w:p>
        </w:tc>
      </w:tr>
      <w:tr w:rsidR="00EE7AA0" w:rsidRPr="00762E58" w14:paraId="66E8C02A" w14:textId="77777777">
        <w:trPr>
          <w:tblCellSpacing w:w="15" w:type="dxa"/>
        </w:trPr>
        <w:tc>
          <w:tcPr>
            <w:tcW w:w="0" w:type="auto"/>
            <w:vAlign w:val="center"/>
            <w:hideMark/>
          </w:tcPr>
          <w:p w14:paraId="2F64C5F4"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Déchets dangereux</w:t>
            </w:r>
          </w:p>
        </w:tc>
        <w:tc>
          <w:tcPr>
            <w:tcW w:w="0" w:type="auto"/>
            <w:vAlign w:val="center"/>
            <w:hideMark/>
          </w:tcPr>
          <w:p w14:paraId="480AF1BD" w14:textId="77777777" w:rsidR="00EF136A" w:rsidRPr="00762E58" w:rsidRDefault="00EF136A" w:rsidP="00EF136A">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2,31 (1,5 %)</w:t>
            </w:r>
          </w:p>
        </w:tc>
      </w:tr>
    </w:tbl>
    <w:p w14:paraId="1233B706" w14:textId="4BAE6F2D" w:rsidR="007E0BFF" w:rsidRDefault="000B1A4B"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Pr>
          <w:noProof/>
        </w:rPr>
        <w:drawing>
          <wp:anchor distT="0" distB="0" distL="114300" distR="114300" simplePos="0" relativeHeight="251664384" behindDoc="1" locked="0" layoutInCell="1" allowOverlap="1" wp14:anchorId="338C67FF" wp14:editId="182FB118">
            <wp:simplePos x="0" y="0"/>
            <wp:positionH relativeFrom="column">
              <wp:posOffset>90805</wp:posOffset>
            </wp:positionH>
            <wp:positionV relativeFrom="paragraph">
              <wp:posOffset>210820</wp:posOffset>
            </wp:positionV>
            <wp:extent cx="3258820" cy="2447925"/>
            <wp:effectExtent l="0" t="0" r="0" b="9525"/>
            <wp:wrapTight wrapText="bothSides">
              <wp:wrapPolygon edited="0">
                <wp:start x="0" y="0"/>
                <wp:lineTo x="0" y="21516"/>
                <wp:lineTo x="21465" y="21516"/>
                <wp:lineTo x="21465" y="0"/>
                <wp:lineTo x="0" y="0"/>
              </wp:wrapPolygon>
            </wp:wrapTight>
            <wp:docPr id="1" name="Image 1" descr="Sortie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tie diagram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882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DA73A" w14:textId="5F2C51E6" w:rsidR="007E0BFF" w:rsidRDefault="007E0BFF"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1A5EEBF0" w14:textId="26FCCF6E" w:rsidR="007E0BFF" w:rsidRDefault="007E0BFF"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53492297" w14:textId="77777777" w:rsidR="007E0BFF" w:rsidRDefault="007E0BFF"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7E83C19D" w14:textId="77777777" w:rsidR="007E0BFF" w:rsidRDefault="007E0BFF"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7C3DB686" w14:textId="77777777" w:rsidR="007E0BFF" w:rsidRDefault="007E0BFF"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43AC890E" w14:textId="77777777" w:rsidR="007E0BFF" w:rsidRDefault="007E0BFF"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245A22EB" w14:textId="77777777" w:rsidR="007E0BFF" w:rsidRDefault="007E0BFF"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0A2109AA" w14:textId="5CDCF970"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Le </w:t>
      </w:r>
      <w:r w:rsidRPr="00762E58">
        <w:rPr>
          <w:rFonts w:ascii="Cavolini" w:eastAsia="Times New Roman" w:hAnsi="Cavolini" w:cs="Cavolini"/>
          <w:b/>
          <w:bCs/>
          <w:kern w:val="0"/>
          <w:sz w:val="20"/>
          <w:szCs w:val="20"/>
          <w:lang w:eastAsia="fr-FR"/>
          <w14:ligatures w14:val="none"/>
        </w:rPr>
        <w:t>taux de valorisation élevé</w:t>
      </w:r>
      <w:r w:rsidRPr="00762E58">
        <w:rPr>
          <w:rFonts w:ascii="Cavolini" w:eastAsia="Times New Roman" w:hAnsi="Cavolini" w:cs="Cavolini"/>
          <w:kern w:val="0"/>
          <w:sz w:val="20"/>
          <w:szCs w:val="20"/>
          <w:lang w:eastAsia="fr-FR"/>
          <w14:ligatures w14:val="none"/>
        </w:rPr>
        <w:t xml:space="preserve"> montre l’engagement de NMBP à </w:t>
      </w:r>
      <w:r w:rsidRPr="00762E58">
        <w:rPr>
          <w:rFonts w:ascii="Cavolini" w:eastAsia="Times New Roman" w:hAnsi="Cavolini" w:cs="Cavolini"/>
          <w:b/>
          <w:bCs/>
          <w:kern w:val="0"/>
          <w:sz w:val="20"/>
          <w:szCs w:val="20"/>
          <w:lang w:eastAsia="fr-FR"/>
          <w14:ligatures w14:val="none"/>
        </w:rPr>
        <w:t>limiter l’impact environnemental des déchets et à favoriser l’économie circulaire</w:t>
      </w:r>
      <w:r w:rsidRPr="00762E58">
        <w:rPr>
          <w:rFonts w:ascii="Cavolini" w:eastAsia="Times New Roman" w:hAnsi="Cavolini" w:cs="Cavolini"/>
          <w:kern w:val="0"/>
          <w:sz w:val="20"/>
          <w:szCs w:val="20"/>
          <w:lang w:eastAsia="fr-FR"/>
          <w14:ligatures w14:val="none"/>
        </w:rPr>
        <w:t>.</w:t>
      </w:r>
    </w:p>
    <w:p w14:paraId="307C82A5"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5.4 Matières premières et éco-conception</w:t>
      </w:r>
    </w:p>
    <w:p w14:paraId="33ACBD26"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En 2025, la consommation de matières premières a été :</w:t>
      </w:r>
    </w:p>
    <w:p w14:paraId="04E1200B" w14:textId="77777777" w:rsidR="00EF136A" w:rsidRPr="00762E58" w:rsidRDefault="00EF136A" w:rsidP="00EF136A">
      <w:pPr>
        <w:numPr>
          <w:ilvl w:val="0"/>
          <w:numId w:val="1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Matières plastiques : 1 570,85 t </w:t>
      </w:r>
    </w:p>
    <w:p w14:paraId="4B96F32D" w14:textId="77777777" w:rsidR="00EF136A" w:rsidRPr="00762E58" w:rsidRDefault="00EF136A" w:rsidP="00EF136A">
      <w:pPr>
        <w:numPr>
          <w:ilvl w:val="0"/>
          <w:numId w:val="1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Colorants : 31,65 t </w:t>
      </w:r>
    </w:p>
    <w:p w14:paraId="78FBF37D" w14:textId="77777777" w:rsidR="00EF136A" w:rsidRPr="00762E58" w:rsidRDefault="00EF136A" w:rsidP="00EF136A">
      <w:pPr>
        <w:numPr>
          <w:ilvl w:val="0"/>
          <w:numId w:val="14"/>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Encres : 2,32 t </w:t>
      </w:r>
    </w:p>
    <w:p w14:paraId="74B9030F"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Les ratios matières / tonne de produit :</w:t>
      </w:r>
    </w:p>
    <w:p w14:paraId="78B75201" w14:textId="77777777" w:rsidR="00EF136A" w:rsidRPr="00762E58" w:rsidRDefault="00EF136A" w:rsidP="00EF136A">
      <w:pPr>
        <w:numPr>
          <w:ilvl w:val="0"/>
          <w:numId w:val="1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Matières premières : 107,3 % </w:t>
      </w:r>
    </w:p>
    <w:p w14:paraId="2BD1DE6F" w14:textId="77777777" w:rsidR="00EF136A" w:rsidRPr="00762E58" w:rsidRDefault="00EF136A" w:rsidP="00EF136A">
      <w:pPr>
        <w:numPr>
          <w:ilvl w:val="0"/>
          <w:numId w:val="1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Composants sensibles : 2,3 % </w:t>
      </w:r>
    </w:p>
    <w:p w14:paraId="2D4F1BB9" w14:textId="77777777" w:rsidR="00EF136A" w:rsidRPr="00762E58" w:rsidRDefault="00EF136A" w:rsidP="00EF136A">
      <w:pPr>
        <w:numPr>
          <w:ilvl w:val="0"/>
          <w:numId w:val="1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Taux de rebuts matières premières : 6,82 % </w:t>
      </w:r>
    </w:p>
    <w:p w14:paraId="5B759058" w14:textId="4F6769F6" w:rsidR="007E0BFF" w:rsidRPr="000B1A4B" w:rsidRDefault="00EF136A" w:rsidP="00EF136A">
      <w:pPr>
        <w:numPr>
          <w:ilvl w:val="0"/>
          <w:numId w:val="15"/>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Taux de matières premières éco-responsables : 0 % </w:t>
      </w:r>
    </w:p>
    <w:p w14:paraId="5F7D08B4" w14:textId="29AAB57D" w:rsidR="007E0BFF" w:rsidRDefault="007E0BFF" w:rsidP="00EF136A">
      <w:pPr>
        <w:spacing w:before="100" w:beforeAutospacing="1" w:after="100" w:afterAutospacing="1" w:line="240" w:lineRule="auto"/>
        <w:rPr>
          <w:rFonts w:ascii="Cavolini" w:eastAsia="Times New Roman" w:hAnsi="Cavolini" w:cs="Cavolini"/>
          <w:b/>
          <w:bCs/>
          <w:color w:val="EE0000"/>
          <w:kern w:val="0"/>
          <w:sz w:val="20"/>
          <w:szCs w:val="20"/>
          <w:lang w:eastAsia="fr-FR"/>
          <w14:ligatures w14:val="none"/>
        </w:rPr>
      </w:pPr>
      <w:r>
        <w:rPr>
          <w:noProof/>
        </w:rPr>
        <w:lastRenderedPageBreak/>
        <w:drawing>
          <wp:inline distT="0" distB="0" distL="0" distR="0" wp14:anchorId="16273DB5" wp14:editId="323464DF">
            <wp:extent cx="3257550" cy="2445815"/>
            <wp:effectExtent l="0" t="0" r="0" b="0"/>
            <wp:docPr id="338510956" name="Image 338510956" descr="Sortie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tie diagram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6626" cy="2452629"/>
                    </a:xfrm>
                    <a:prstGeom prst="rect">
                      <a:avLst/>
                    </a:prstGeom>
                    <a:noFill/>
                    <a:ln>
                      <a:noFill/>
                    </a:ln>
                  </pic:spPr>
                </pic:pic>
              </a:graphicData>
            </a:graphic>
          </wp:inline>
        </w:drawing>
      </w:r>
    </w:p>
    <w:p w14:paraId="18DDCF42" w14:textId="6308B10C"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données mettent en évidence </w:t>
      </w:r>
      <w:r w:rsidRPr="00762E58">
        <w:rPr>
          <w:rFonts w:ascii="Cavolini" w:eastAsia="Times New Roman" w:hAnsi="Cavolini" w:cs="Cavolini"/>
          <w:b/>
          <w:bCs/>
          <w:kern w:val="0"/>
          <w:sz w:val="20"/>
          <w:szCs w:val="20"/>
          <w:lang w:eastAsia="fr-FR"/>
          <w14:ligatures w14:val="none"/>
        </w:rPr>
        <w:t>une optimisation des flux matières</w:t>
      </w:r>
      <w:r w:rsidRPr="00762E58">
        <w:rPr>
          <w:rFonts w:ascii="Cavolini" w:eastAsia="Times New Roman" w:hAnsi="Cavolini" w:cs="Cavolini"/>
          <w:kern w:val="0"/>
          <w:sz w:val="20"/>
          <w:szCs w:val="20"/>
          <w:lang w:eastAsia="fr-FR"/>
          <w14:ligatures w14:val="none"/>
        </w:rPr>
        <w:t xml:space="preserve"> et des opportunités pour </w:t>
      </w:r>
      <w:r w:rsidRPr="00762E58">
        <w:rPr>
          <w:rFonts w:ascii="Cavolini" w:eastAsia="Times New Roman" w:hAnsi="Cavolini" w:cs="Cavolini"/>
          <w:b/>
          <w:bCs/>
          <w:kern w:val="0"/>
          <w:sz w:val="20"/>
          <w:szCs w:val="20"/>
          <w:lang w:eastAsia="fr-FR"/>
          <w14:ligatures w14:val="none"/>
        </w:rPr>
        <w:t>développer l’éco-conception et l’usage de matières durables</w:t>
      </w:r>
      <w:r w:rsidRPr="00762E58">
        <w:rPr>
          <w:rFonts w:ascii="Cavolini" w:eastAsia="Times New Roman" w:hAnsi="Cavolini" w:cs="Cavolini"/>
          <w:kern w:val="0"/>
          <w:sz w:val="20"/>
          <w:szCs w:val="20"/>
          <w:lang w:eastAsia="fr-FR"/>
          <w14:ligatures w14:val="none"/>
        </w:rPr>
        <w:t>.</w:t>
      </w:r>
    </w:p>
    <w:p w14:paraId="1064C4FC" w14:textId="77777777" w:rsidR="00EF136A" w:rsidRPr="000B34DA" w:rsidRDefault="00EF136A" w:rsidP="00EF136A">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5.5 Objectifs environnementaux et perspectives</w:t>
      </w:r>
    </w:p>
    <w:p w14:paraId="04E5BF42"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Pour renforcer sa politique environnementale, NMBP prévoit :</w:t>
      </w:r>
    </w:p>
    <w:p w14:paraId="7CE6F3EE" w14:textId="77777777" w:rsidR="00EF136A" w:rsidRPr="00762E58" w:rsidRDefault="00EF136A" w:rsidP="00EF136A">
      <w:pPr>
        <w:numPr>
          <w:ilvl w:val="0"/>
          <w:numId w:val="1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Réduire les émissions de GES en amont et en aval de la production. </w:t>
      </w:r>
    </w:p>
    <w:p w14:paraId="4328F110" w14:textId="77777777" w:rsidR="00EF136A" w:rsidRPr="00762E58" w:rsidRDefault="00EF136A" w:rsidP="00EF136A">
      <w:pPr>
        <w:numPr>
          <w:ilvl w:val="0"/>
          <w:numId w:val="1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Augmenter la consommation d’énergie renouvelable. </w:t>
      </w:r>
    </w:p>
    <w:p w14:paraId="14B4D98B" w14:textId="77777777" w:rsidR="00EF136A" w:rsidRPr="00762E58" w:rsidRDefault="00EF136A" w:rsidP="00EF136A">
      <w:pPr>
        <w:numPr>
          <w:ilvl w:val="0"/>
          <w:numId w:val="1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Optimiser l’usage de l’eau et réduire la consommation de gaz. </w:t>
      </w:r>
    </w:p>
    <w:p w14:paraId="790A5E18" w14:textId="77777777" w:rsidR="00EF136A" w:rsidRPr="00762E58" w:rsidRDefault="00EF136A" w:rsidP="00EF136A">
      <w:pPr>
        <w:numPr>
          <w:ilvl w:val="0"/>
          <w:numId w:val="1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Accroître la valorisation des déchets et réduire les déchets totaux. </w:t>
      </w:r>
    </w:p>
    <w:p w14:paraId="1DC8AC31" w14:textId="77777777" w:rsidR="00EF136A" w:rsidRPr="00762E58" w:rsidRDefault="00EF136A" w:rsidP="00EF136A">
      <w:pPr>
        <w:numPr>
          <w:ilvl w:val="0"/>
          <w:numId w:val="16"/>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Développer l’éco-conception et intégrer des matières premières durables. </w:t>
      </w:r>
    </w:p>
    <w:p w14:paraId="368295D0" w14:textId="77777777" w:rsidR="00EF136A" w:rsidRPr="00762E58" w:rsidRDefault="00EF136A" w:rsidP="00EF136A">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actions s’inscrivent dans une </w:t>
      </w:r>
      <w:r w:rsidRPr="00762E58">
        <w:rPr>
          <w:rFonts w:ascii="Cavolini" w:eastAsia="Times New Roman" w:hAnsi="Cavolini" w:cs="Cavolini"/>
          <w:b/>
          <w:bCs/>
          <w:kern w:val="0"/>
          <w:sz w:val="20"/>
          <w:szCs w:val="20"/>
          <w:lang w:eastAsia="fr-FR"/>
          <w14:ligatures w14:val="none"/>
        </w:rPr>
        <w:t>stratégie RSE globale visant à limiter l’impact écologique et à favoriser la transition vers une production plus durable</w:t>
      </w:r>
      <w:r w:rsidRPr="00762E58">
        <w:rPr>
          <w:rFonts w:ascii="Cavolini" w:eastAsia="Times New Roman" w:hAnsi="Cavolini" w:cs="Cavolini"/>
          <w:kern w:val="0"/>
          <w:sz w:val="20"/>
          <w:szCs w:val="20"/>
          <w:lang w:eastAsia="fr-FR"/>
          <w14:ligatures w14:val="none"/>
        </w:rPr>
        <w:t>.</w:t>
      </w:r>
    </w:p>
    <w:p w14:paraId="44F1CED1" w14:textId="77777777" w:rsidR="00B475E9" w:rsidRPr="000B34DA" w:rsidRDefault="00B475E9" w:rsidP="00B475E9">
      <w:pPr>
        <w:spacing w:before="100" w:beforeAutospacing="1" w:after="100" w:afterAutospacing="1" w:line="240" w:lineRule="auto"/>
        <w:outlineLvl w:val="1"/>
        <w:rPr>
          <w:rFonts w:ascii="Cavolini" w:eastAsia="Times New Roman" w:hAnsi="Cavolini" w:cs="Cavolini"/>
          <w:b/>
          <w:bCs/>
          <w:color w:val="156082" w:themeColor="accent1"/>
          <w:kern w:val="0"/>
          <w:sz w:val="24"/>
          <w:szCs w:val="24"/>
          <w:u w:val="single"/>
          <w:lang w:eastAsia="fr-FR"/>
          <w14:ligatures w14:val="none"/>
        </w:rPr>
      </w:pPr>
      <w:r w:rsidRPr="000B34DA">
        <w:rPr>
          <w:rFonts w:ascii="Cavolini" w:eastAsia="Times New Roman" w:hAnsi="Cavolini" w:cs="Cavolini"/>
          <w:b/>
          <w:bCs/>
          <w:color w:val="156082" w:themeColor="accent1"/>
          <w:kern w:val="0"/>
          <w:sz w:val="24"/>
          <w:szCs w:val="24"/>
          <w:u w:val="single"/>
          <w:lang w:eastAsia="fr-FR"/>
          <w14:ligatures w14:val="none"/>
        </w:rPr>
        <w:t>6. Éthique, achats responsables et relation avec les parties prenantes</w:t>
      </w:r>
    </w:p>
    <w:p w14:paraId="0B97FBC6"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NMBP place l’éthique, la transparence et la responsabilité sociétale au cœur de ses relations internes et externes. Les actions menées visent à </w:t>
      </w:r>
      <w:r w:rsidRPr="00762E58">
        <w:rPr>
          <w:rFonts w:ascii="Cavolini" w:eastAsia="Times New Roman" w:hAnsi="Cavolini" w:cs="Cavolini"/>
          <w:b/>
          <w:bCs/>
          <w:kern w:val="0"/>
          <w:sz w:val="20"/>
          <w:szCs w:val="20"/>
          <w:lang w:eastAsia="fr-FR"/>
          <w14:ligatures w14:val="none"/>
        </w:rPr>
        <w:t>assurer la conformité légale, prévenir les risques, garantir la satisfaction client et promouvoir des pratiques responsables auprès des fournisseurs</w:t>
      </w:r>
      <w:r w:rsidRPr="00762E58">
        <w:rPr>
          <w:rFonts w:ascii="Cavolini" w:eastAsia="Times New Roman" w:hAnsi="Cavolini" w:cs="Cavolini"/>
          <w:kern w:val="0"/>
          <w:sz w:val="20"/>
          <w:szCs w:val="20"/>
          <w:lang w:eastAsia="fr-FR"/>
          <w14:ligatures w14:val="none"/>
        </w:rPr>
        <w:t>.</w:t>
      </w:r>
    </w:p>
    <w:p w14:paraId="60A29838" w14:textId="77777777" w:rsidR="00B475E9" w:rsidRPr="000B34DA" w:rsidRDefault="00B475E9" w:rsidP="00B475E9">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6.1 Éthique et intégrité</w:t>
      </w:r>
    </w:p>
    <w:p w14:paraId="58B68C83"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La société surveille et évalue régulièrement ses pratiques pour éviter tout manquement à l’éthique :</w:t>
      </w:r>
    </w:p>
    <w:p w14:paraId="6E395434" w14:textId="77777777" w:rsidR="00B475E9" w:rsidRPr="00762E58" w:rsidRDefault="00B475E9" w:rsidP="00B475E9">
      <w:pPr>
        <w:numPr>
          <w:ilvl w:val="0"/>
          <w:numId w:val="17"/>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Incidents liés à la sécurité de l’information</w:t>
      </w:r>
      <w:r w:rsidRPr="00762E58">
        <w:rPr>
          <w:rFonts w:ascii="Cavolini" w:eastAsia="Times New Roman" w:hAnsi="Cavolini" w:cs="Cavolini"/>
          <w:kern w:val="0"/>
          <w:sz w:val="20"/>
          <w:szCs w:val="20"/>
          <w:lang w:eastAsia="fr-FR"/>
          <w14:ligatures w14:val="none"/>
        </w:rPr>
        <w:t xml:space="preserve"> : 0 en 2025 </w:t>
      </w:r>
    </w:p>
    <w:p w14:paraId="28604E32" w14:textId="77777777" w:rsidR="00B475E9" w:rsidRPr="00762E58" w:rsidRDefault="00B475E9" w:rsidP="00B475E9">
      <w:pPr>
        <w:numPr>
          <w:ilvl w:val="0"/>
          <w:numId w:val="17"/>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Incidents de corruption confirmés</w:t>
      </w:r>
      <w:r w:rsidRPr="00762E58">
        <w:rPr>
          <w:rFonts w:ascii="Cavolini" w:eastAsia="Times New Roman" w:hAnsi="Cavolini" w:cs="Cavolini"/>
          <w:kern w:val="0"/>
          <w:sz w:val="20"/>
          <w:szCs w:val="20"/>
          <w:lang w:eastAsia="fr-FR"/>
          <w14:ligatures w14:val="none"/>
        </w:rPr>
        <w:t xml:space="preserve"> : 0 en 2025 </w:t>
      </w:r>
    </w:p>
    <w:p w14:paraId="11A49F05" w14:textId="77777777" w:rsidR="00B475E9" w:rsidRPr="00762E58" w:rsidRDefault="00B475E9" w:rsidP="00B475E9">
      <w:pPr>
        <w:numPr>
          <w:ilvl w:val="0"/>
          <w:numId w:val="17"/>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Procédures d’alerte liées à l’éthique</w:t>
      </w:r>
      <w:r w:rsidRPr="00762E58">
        <w:rPr>
          <w:rFonts w:ascii="Cavolini" w:eastAsia="Times New Roman" w:hAnsi="Cavolini" w:cs="Cavolini"/>
          <w:kern w:val="0"/>
          <w:sz w:val="20"/>
          <w:szCs w:val="20"/>
          <w:lang w:eastAsia="fr-FR"/>
          <w14:ligatures w14:val="none"/>
        </w:rPr>
        <w:t xml:space="preserve"> : 0 en 2025 </w:t>
      </w:r>
    </w:p>
    <w:p w14:paraId="737547E6"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chiffres reflètent un </w:t>
      </w:r>
      <w:r w:rsidRPr="00762E58">
        <w:rPr>
          <w:rFonts w:ascii="Cavolini" w:eastAsia="Times New Roman" w:hAnsi="Cavolini" w:cs="Cavolini"/>
          <w:b/>
          <w:bCs/>
          <w:kern w:val="0"/>
          <w:sz w:val="20"/>
          <w:szCs w:val="20"/>
          <w:lang w:eastAsia="fr-FR"/>
          <w14:ligatures w14:val="none"/>
        </w:rPr>
        <w:t>engagement fort pour maintenir un environnement de travail intègre et sécurisé</w:t>
      </w:r>
      <w:r w:rsidRPr="00762E58">
        <w:rPr>
          <w:rFonts w:ascii="Cavolini" w:eastAsia="Times New Roman" w:hAnsi="Cavolini" w:cs="Cavolini"/>
          <w:kern w:val="0"/>
          <w:sz w:val="20"/>
          <w:szCs w:val="20"/>
          <w:lang w:eastAsia="fr-FR"/>
          <w14:ligatures w14:val="none"/>
        </w:rPr>
        <w:t>, où les collaborateurs peuvent exercer leurs missions dans le respect des règles et de la déontologie.</w:t>
      </w:r>
    </w:p>
    <w:p w14:paraId="75542E86" w14:textId="77777777" w:rsidR="00B475E9" w:rsidRPr="000B34DA" w:rsidRDefault="00B475E9" w:rsidP="00B475E9">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6.2 Satisfaction et réclamations clients</w:t>
      </w:r>
    </w:p>
    <w:p w14:paraId="3989C124" w14:textId="3E311F7F"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lastRenderedPageBreak/>
        <w:t xml:space="preserve">NMBP suit également de près la </w:t>
      </w:r>
      <w:r w:rsidRPr="00762E58">
        <w:rPr>
          <w:rFonts w:ascii="Cavolini" w:eastAsia="Times New Roman" w:hAnsi="Cavolini" w:cs="Cavolini"/>
          <w:b/>
          <w:bCs/>
          <w:kern w:val="0"/>
          <w:sz w:val="20"/>
          <w:szCs w:val="20"/>
          <w:lang w:eastAsia="fr-FR"/>
          <w14:ligatures w14:val="none"/>
        </w:rPr>
        <w:t>satisfaction client et la qualité des produits livrés</w:t>
      </w:r>
      <w:r w:rsidRPr="00762E58">
        <w:rPr>
          <w:rFonts w:ascii="Cavolini" w:eastAsia="Times New Roman" w:hAnsi="Cavolini" w:cs="Cavolini"/>
          <w:kern w:val="0"/>
          <w:sz w:val="20"/>
          <w:szCs w:val="20"/>
          <w:lang w:eastAsia="fr-FR"/>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17"/>
        <w:gridCol w:w="1437"/>
      </w:tblGrid>
      <w:tr w:rsidR="00B475E9" w:rsidRPr="00762E58" w14:paraId="2E2A718C" w14:textId="77777777">
        <w:trPr>
          <w:tblHeader/>
          <w:tblCellSpacing w:w="15" w:type="dxa"/>
        </w:trPr>
        <w:tc>
          <w:tcPr>
            <w:tcW w:w="0" w:type="auto"/>
            <w:vAlign w:val="center"/>
            <w:hideMark/>
          </w:tcPr>
          <w:p w14:paraId="74C362A8" w14:textId="77777777" w:rsidR="00B475E9" w:rsidRPr="00762E58" w:rsidRDefault="00B475E9" w:rsidP="00B475E9">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Indicateur</w:t>
            </w:r>
          </w:p>
        </w:tc>
        <w:tc>
          <w:tcPr>
            <w:tcW w:w="0" w:type="auto"/>
            <w:vAlign w:val="center"/>
            <w:hideMark/>
          </w:tcPr>
          <w:p w14:paraId="06ACCC68" w14:textId="77777777" w:rsidR="00B475E9" w:rsidRPr="00762E58" w:rsidRDefault="00B475E9" w:rsidP="00B475E9">
            <w:pPr>
              <w:spacing w:after="0" w:line="240" w:lineRule="auto"/>
              <w:jc w:val="center"/>
              <w:rPr>
                <w:rFonts w:ascii="Cavolini" w:eastAsia="Times New Roman" w:hAnsi="Cavolini" w:cs="Cavolini"/>
                <w:b/>
                <w:bCs/>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2025</w:t>
            </w:r>
          </w:p>
        </w:tc>
      </w:tr>
      <w:tr w:rsidR="00B475E9" w:rsidRPr="00762E58" w14:paraId="06662726" w14:textId="77777777">
        <w:trPr>
          <w:tblCellSpacing w:w="15" w:type="dxa"/>
        </w:trPr>
        <w:tc>
          <w:tcPr>
            <w:tcW w:w="0" w:type="auto"/>
            <w:vAlign w:val="center"/>
            <w:hideMark/>
          </w:tcPr>
          <w:p w14:paraId="2D52D171" w14:textId="77777777" w:rsidR="00B475E9" w:rsidRPr="00762E58" w:rsidRDefault="00B475E9" w:rsidP="00B475E9">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Nombre de réclamations clients</w:t>
            </w:r>
          </w:p>
        </w:tc>
        <w:tc>
          <w:tcPr>
            <w:tcW w:w="0" w:type="auto"/>
            <w:vAlign w:val="center"/>
            <w:hideMark/>
          </w:tcPr>
          <w:p w14:paraId="5D399DC3" w14:textId="77777777" w:rsidR="00B475E9" w:rsidRPr="00762E58" w:rsidRDefault="00B475E9" w:rsidP="00B475E9">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33</w:t>
            </w:r>
          </w:p>
        </w:tc>
      </w:tr>
      <w:tr w:rsidR="00B475E9" w:rsidRPr="00762E58" w14:paraId="2CD1A506" w14:textId="77777777">
        <w:trPr>
          <w:tblCellSpacing w:w="15" w:type="dxa"/>
        </w:trPr>
        <w:tc>
          <w:tcPr>
            <w:tcW w:w="0" w:type="auto"/>
            <w:vAlign w:val="center"/>
            <w:hideMark/>
          </w:tcPr>
          <w:p w14:paraId="17F88019" w14:textId="77777777" w:rsidR="00B475E9" w:rsidRPr="00762E58" w:rsidRDefault="00B475E9" w:rsidP="00B475E9">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Coût des réclamations (en €)</w:t>
            </w:r>
          </w:p>
        </w:tc>
        <w:tc>
          <w:tcPr>
            <w:tcW w:w="0" w:type="auto"/>
            <w:vAlign w:val="center"/>
            <w:hideMark/>
          </w:tcPr>
          <w:p w14:paraId="335707C3" w14:textId="77777777" w:rsidR="00B475E9" w:rsidRPr="00762E58" w:rsidRDefault="00B475E9" w:rsidP="00B475E9">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5 557 €</w:t>
            </w:r>
          </w:p>
        </w:tc>
      </w:tr>
      <w:tr w:rsidR="00B475E9" w:rsidRPr="00762E58" w14:paraId="5B15F3DF" w14:textId="77777777">
        <w:trPr>
          <w:tblCellSpacing w:w="15" w:type="dxa"/>
        </w:trPr>
        <w:tc>
          <w:tcPr>
            <w:tcW w:w="0" w:type="auto"/>
            <w:vAlign w:val="center"/>
            <w:hideMark/>
          </w:tcPr>
          <w:p w14:paraId="01B4A137" w14:textId="77777777" w:rsidR="00B475E9" w:rsidRPr="00762E58" w:rsidRDefault="00B475E9" w:rsidP="00B475E9">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Chiffre d’affaires production (en €)</w:t>
            </w:r>
          </w:p>
        </w:tc>
        <w:tc>
          <w:tcPr>
            <w:tcW w:w="0" w:type="auto"/>
            <w:vAlign w:val="center"/>
            <w:hideMark/>
          </w:tcPr>
          <w:p w14:paraId="099959C8" w14:textId="77777777" w:rsidR="00B475E9" w:rsidRPr="00762E58" w:rsidRDefault="00B475E9" w:rsidP="00B475E9">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10 851 699 €</w:t>
            </w:r>
          </w:p>
        </w:tc>
      </w:tr>
      <w:tr w:rsidR="00B475E9" w:rsidRPr="00762E58" w14:paraId="3E6778B2" w14:textId="77777777">
        <w:trPr>
          <w:tblCellSpacing w:w="15" w:type="dxa"/>
        </w:trPr>
        <w:tc>
          <w:tcPr>
            <w:tcW w:w="0" w:type="auto"/>
            <w:vAlign w:val="center"/>
            <w:hideMark/>
          </w:tcPr>
          <w:p w14:paraId="743994E8" w14:textId="77777777" w:rsidR="00B475E9" w:rsidRPr="00762E58" w:rsidRDefault="00B475E9" w:rsidP="00B475E9">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Coût des réclamations / CA</w:t>
            </w:r>
          </w:p>
        </w:tc>
        <w:tc>
          <w:tcPr>
            <w:tcW w:w="0" w:type="auto"/>
            <w:vAlign w:val="center"/>
            <w:hideMark/>
          </w:tcPr>
          <w:p w14:paraId="60127035" w14:textId="77777777" w:rsidR="00B475E9" w:rsidRPr="00762E58" w:rsidRDefault="00B475E9" w:rsidP="00B475E9">
            <w:pPr>
              <w:spacing w:after="0"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0,0512 %</w:t>
            </w:r>
          </w:p>
        </w:tc>
      </w:tr>
    </w:tbl>
    <w:p w14:paraId="228E1D88" w14:textId="5B16B951" w:rsidR="00B475E9" w:rsidRPr="00762E58" w:rsidRDefault="000B34DA"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La diminution notable</w:t>
      </w:r>
      <w:r w:rsidR="00B475E9" w:rsidRPr="00762E58">
        <w:rPr>
          <w:rFonts w:ascii="Cavolini" w:eastAsia="Times New Roman" w:hAnsi="Cavolini" w:cs="Cavolini"/>
          <w:b/>
          <w:bCs/>
          <w:kern w:val="0"/>
          <w:sz w:val="20"/>
          <w:szCs w:val="20"/>
          <w:lang w:eastAsia="fr-FR"/>
          <w14:ligatures w14:val="none"/>
        </w:rPr>
        <w:t xml:space="preserve"> du coût des réclamations clients</w:t>
      </w:r>
      <w:r w:rsidR="00B475E9" w:rsidRPr="00762E58">
        <w:rPr>
          <w:rFonts w:ascii="Cavolini" w:eastAsia="Times New Roman" w:hAnsi="Cavolini" w:cs="Cavolini"/>
          <w:kern w:val="0"/>
          <w:sz w:val="20"/>
          <w:szCs w:val="20"/>
          <w:lang w:eastAsia="fr-FR"/>
          <w14:ligatures w14:val="none"/>
        </w:rPr>
        <w:t xml:space="preserve"> montre l’efficacité des actions correctives et préventives mises en place, ainsi que la </w:t>
      </w:r>
      <w:r w:rsidR="00B475E9" w:rsidRPr="00762E58">
        <w:rPr>
          <w:rFonts w:ascii="Cavolini" w:eastAsia="Times New Roman" w:hAnsi="Cavolini" w:cs="Cavolini"/>
          <w:b/>
          <w:bCs/>
          <w:kern w:val="0"/>
          <w:sz w:val="20"/>
          <w:szCs w:val="20"/>
          <w:lang w:eastAsia="fr-FR"/>
          <w14:ligatures w14:val="none"/>
        </w:rPr>
        <w:t>qualité et la fiabilité des produits</w:t>
      </w:r>
      <w:r w:rsidR="00B475E9" w:rsidRPr="00762E58">
        <w:rPr>
          <w:rFonts w:ascii="Cavolini" w:eastAsia="Times New Roman" w:hAnsi="Cavolini" w:cs="Cavolini"/>
          <w:kern w:val="0"/>
          <w:sz w:val="20"/>
          <w:szCs w:val="20"/>
          <w:lang w:eastAsia="fr-FR"/>
          <w14:ligatures w14:val="none"/>
        </w:rPr>
        <w:t>.</w:t>
      </w:r>
    </w:p>
    <w:p w14:paraId="410FAE37" w14:textId="77777777" w:rsidR="00B475E9" w:rsidRPr="000B34DA" w:rsidRDefault="00B475E9" w:rsidP="00B475E9">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6.3 Achats responsables et relations fournisseurs</w:t>
      </w:r>
    </w:p>
    <w:p w14:paraId="119B5C95"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NMBP encourage une démarche responsable auprès de ses fournisseurs, notamment pour les fournisseurs stratégiques :</w:t>
      </w:r>
    </w:p>
    <w:p w14:paraId="103B897D" w14:textId="77777777" w:rsidR="00B475E9" w:rsidRPr="00762E58" w:rsidRDefault="00B475E9" w:rsidP="00B475E9">
      <w:pPr>
        <w:numPr>
          <w:ilvl w:val="0"/>
          <w:numId w:val="1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Nombre total de fournisseurs</w:t>
      </w:r>
      <w:r w:rsidRPr="00762E58">
        <w:rPr>
          <w:rFonts w:ascii="Cavolini" w:eastAsia="Times New Roman" w:hAnsi="Cavolini" w:cs="Cavolini"/>
          <w:kern w:val="0"/>
          <w:sz w:val="20"/>
          <w:szCs w:val="20"/>
          <w:lang w:eastAsia="fr-FR"/>
          <w14:ligatures w14:val="none"/>
        </w:rPr>
        <w:t xml:space="preserve"> : 199 </w:t>
      </w:r>
    </w:p>
    <w:p w14:paraId="57162D37" w14:textId="77777777" w:rsidR="00B475E9" w:rsidRPr="00762E58" w:rsidRDefault="00B475E9" w:rsidP="00B475E9">
      <w:pPr>
        <w:numPr>
          <w:ilvl w:val="0"/>
          <w:numId w:val="1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Fournisseurs stratégiques</w:t>
      </w:r>
      <w:r w:rsidRPr="00762E58">
        <w:rPr>
          <w:rFonts w:ascii="Cavolini" w:eastAsia="Times New Roman" w:hAnsi="Cavolini" w:cs="Cavolini"/>
          <w:kern w:val="0"/>
          <w:sz w:val="20"/>
          <w:szCs w:val="20"/>
          <w:lang w:eastAsia="fr-FR"/>
          <w14:ligatures w14:val="none"/>
        </w:rPr>
        <w:t xml:space="preserve"> : 50 </w:t>
      </w:r>
    </w:p>
    <w:p w14:paraId="08D188A6" w14:textId="77777777" w:rsidR="00B475E9" w:rsidRPr="00762E58" w:rsidRDefault="00B475E9" w:rsidP="00B475E9">
      <w:pPr>
        <w:numPr>
          <w:ilvl w:val="0"/>
          <w:numId w:val="1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Envoi du questionnaire RSE et politique achats responsables</w:t>
      </w:r>
      <w:r w:rsidRPr="00762E58">
        <w:rPr>
          <w:rFonts w:ascii="Cavolini" w:eastAsia="Times New Roman" w:hAnsi="Cavolini" w:cs="Cavolini"/>
          <w:kern w:val="0"/>
          <w:sz w:val="20"/>
          <w:szCs w:val="20"/>
          <w:lang w:eastAsia="fr-FR"/>
          <w14:ligatures w14:val="none"/>
        </w:rPr>
        <w:t xml:space="preserve"> : 27 fournisseurs (54 %) </w:t>
      </w:r>
    </w:p>
    <w:p w14:paraId="697410D5" w14:textId="77777777" w:rsidR="00B475E9" w:rsidRPr="00762E58" w:rsidRDefault="00B475E9" w:rsidP="00B475E9">
      <w:pPr>
        <w:numPr>
          <w:ilvl w:val="0"/>
          <w:numId w:val="1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Réponses reçues au questionnaire RSE</w:t>
      </w:r>
      <w:r w:rsidRPr="00762E58">
        <w:rPr>
          <w:rFonts w:ascii="Cavolini" w:eastAsia="Times New Roman" w:hAnsi="Cavolini" w:cs="Cavolini"/>
          <w:kern w:val="0"/>
          <w:sz w:val="20"/>
          <w:szCs w:val="20"/>
          <w:lang w:eastAsia="fr-FR"/>
          <w14:ligatures w14:val="none"/>
        </w:rPr>
        <w:t xml:space="preserve"> : 13 fournisseurs (48,15 %) </w:t>
      </w:r>
    </w:p>
    <w:p w14:paraId="24B6B4FD" w14:textId="77777777" w:rsidR="00B475E9" w:rsidRPr="00762E58" w:rsidRDefault="00B475E9" w:rsidP="00B475E9">
      <w:pPr>
        <w:numPr>
          <w:ilvl w:val="0"/>
          <w:numId w:val="1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Politique achats signée</w:t>
      </w:r>
      <w:r w:rsidRPr="00762E58">
        <w:rPr>
          <w:rFonts w:ascii="Cavolini" w:eastAsia="Times New Roman" w:hAnsi="Cavolini" w:cs="Cavolini"/>
          <w:kern w:val="0"/>
          <w:sz w:val="20"/>
          <w:szCs w:val="20"/>
          <w:lang w:eastAsia="fr-FR"/>
          <w14:ligatures w14:val="none"/>
        </w:rPr>
        <w:t xml:space="preserve"> : 11 fournisseurs (40,74 %) </w:t>
      </w:r>
    </w:p>
    <w:p w14:paraId="104A202F" w14:textId="77777777" w:rsidR="00B475E9" w:rsidRPr="00762E58" w:rsidRDefault="00B475E9" w:rsidP="00B475E9">
      <w:pPr>
        <w:numPr>
          <w:ilvl w:val="0"/>
          <w:numId w:val="1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Fournisseurs ayant démarche RSE</w:t>
      </w:r>
      <w:r w:rsidRPr="00762E58">
        <w:rPr>
          <w:rFonts w:ascii="Cavolini" w:eastAsia="Times New Roman" w:hAnsi="Cavolini" w:cs="Cavolini"/>
          <w:kern w:val="0"/>
          <w:sz w:val="20"/>
          <w:szCs w:val="20"/>
          <w:lang w:eastAsia="fr-FR"/>
          <w14:ligatures w14:val="none"/>
        </w:rPr>
        <w:t xml:space="preserve"> : 40 (20,10 %) </w:t>
      </w:r>
    </w:p>
    <w:p w14:paraId="06C16F7D" w14:textId="77777777" w:rsidR="00B475E9" w:rsidRDefault="00B475E9" w:rsidP="00B475E9">
      <w:pPr>
        <w:numPr>
          <w:ilvl w:val="0"/>
          <w:numId w:val="18"/>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Fournisseurs locaux (&lt; 300 km)</w:t>
      </w:r>
      <w:r w:rsidRPr="00762E58">
        <w:rPr>
          <w:rFonts w:ascii="Cavolini" w:eastAsia="Times New Roman" w:hAnsi="Cavolini" w:cs="Cavolini"/>
          <w:kern w:val="0"/>
          <w:sz w:val="20"/>
          <w:szCs w:val="20"/>
          <w:lang w:eastAsia="fr-FR"/>
          <w14:ligatures w14:val="none"/>
        </w:rPr>
        <w:t xml:space="preserve"> : 126 (63,32 %) </w:t>
      </w:r>
    </w:p>
    <w:p w14:paraId="7C13C1A3" w14:textId="77777777" w:rsidR="000B34DA" w:rsidRPr="00762E58" w:rsidRDefault="000B34DA" w:rsidP="00B475E9">
      <w:pPr>
        <w:numPr>
          <w:ilvl w:val="0"/>
          <w:numId w:val="18"/>
        </w:numPr>
        <w:spacing w:before="100" w:beforeAutospacing="1" w:after="100" w:afterAutospacing="1" w:line="240" w:lineRule="auto"/>
        <w:rPr>
          <w:rFonts w:ascii="Cavolini" w:eastAsia="Times New Roman" w:hAnsi="Cavolini" w:cs="Cavolini"/>
          <w:kern w:val="0"/>
          <w:sz w:val="20"/>
          <w:szCs w:val="20"/>
          <w:lang w:eastAsia="fr-FR"/>
          <w14:ligatures w14:val="none"/>
        </w:rPr>
      </w:pPr>
    </w:p>
    <w:p w14:paraId="657EABE8" w14:textId="2C538FD7" w:rsidR="00446B0E" w:rsidRDefault="00446B0E" w:rsidP="00B475E9">
      <w:pPr>
        <w:spacing w:before="100" w:beforeAutospacing="1" w:after="100" w:afterAutospacing="1" w:line="240" w:lineRule="auto"/>
        <w:rPr>
          <w:rFonts w:ascii="Cavolini" w:eastAsia="Times New Roman" w:hAnsi="Cavolini" w:cs="Cavolini"/>
          <w:b/>
          <w:bCs/>
          <w:color w:val="EE0000"/>
          <w:kern w:val="0"/>
          <w:sz w:val="20"/>
          <w:szCs w:val="20"/>
          <w:lang w:eastAsia="fr-FR"/>
          <w14:ligatures w14:val="none"/>
        </w:rPr>
      </w:pPr>
      <w:r>
        <w:rPr>
          <w:noProof/>
        </w:rPr>
        <w:drawing>
          <wp:inline distT="0" distB="0" distL="0" distR="0" wp14:anchorId="1CC20313" wp14:editId="36F8B376">
            <wp:extent cx="3390900" cy="2545936"/>
            <wp:effectExtent l="0" t="0" r="0" b="6985"/>
            <wp:docPr id="641091762" name="Image 641091762" descr="Sortie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tie diagram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9041" cy="2552049"/>
                    </a:xfrm>
                    <a:prstGeom prst="rect">
                      <a:avLst/>
                    </a:prstGeom>
                    <a:noFill/>
                    <a:ln>
                      <a:noFill/>
                    </a:ln>
                  </pic:spPr>
                </pic:pic>
              </a:graphicData>
            </a:graphic>
          </wp:inline>
        </w:drawing>
      </w:r>
    </w:p>
    <w:p w14:paraId="45DEBBAB" w14:textId="5A756A5F"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indicateurs montrent l’engagement de NMBP à </w:t>
      </w:r>
      <w:r w:rsidRPr="00762E58">
        <w:rPr>
          <w:rFonts w:ascii="Cavolini" w:eastAsia="Times New Roman" w:hAnsi="Cavolini" w:cs="Cavolini"/>
          <w:b/>
          <w:bCs/>
          <w:kern w:val="0"/>
          <w:sz w:val="20"/>
          <w:szCs w:val="20"/>
          <w:lang w:eastAsia="fr-FR"/>
          <w14:ligatures w14:val="none"/>
        </w:rPr>
        <w:t>promouvoir des pratiques responsables tout au long de sa chaîne d’approvisionnement</w:t>
      </w:r>
      <w:r w:rsidRPr="00762E58">
        <w:rPr>
          <w:rFonts w:ascii="Cavolini" w:eastAsia="Times New Roman" w:hAnsi="Cavolini" w:cs="Cavolini"/>
          <w:kern w:val="0"/>
          <w:sz w:val="20"/>
          <w:szCs w:val="20"/>
          <w:lang w:eastAsia="fr-FR"/>
          <w14:ligatures w14:val="none"/>
        </w:rPr>
        <w:t>, favoriser les fournisseurs locaux et encourager l’adhésion à la RSE.</w:t>
      </w:r>
    </w:p>
    <w:p w14:paraId="0CD25DE0" w14:textId="77777777" w:rsidR="00B475E9" w:rsidRPr="000B34DA" w:rsidRDefault="00B475E9" w:rsidP="00B475E9">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6.4 Dialogue et engagement des parties prenantes</w:t>
      </w:r>
    </w:p>
    <w:p w14:paraId="7D680A2D"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NMBP entretient un dialogue permanent avec ses parties prenantes pour améliorer continuellement ses pratiques RSE :</w:t>
      </w:r>
    </w:p>
    <w:p w14:paraId="1B5B5C35" w14:textId="77777777" w:rsidR="00B475E9" w:rsidRPr="00762E58" w:rsidRDefault="00B475E9" w:rsidP="00B475E9">
      <w:pPr>
        <w:numPr>
          <w:ilvl w:val="0"/>
          <w:numId w:val="19"/>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lastRenderedPageBreak/>
        <w:t xml:space="preserve">Les fournisseurs stratégiques sont régulièrement évalués et accompagnés dans leurs démarches RSE. </w:t>
      </w:r>
    </w:p>
    <w:p w14:paraId="1AED1A79" w14:textId="77777777" w:rsidR="00B475E9" w:rsidRPr="00762E58" w:rsidRDefault="00B475E9" w:rsidP="00B475E9">
      <w:pPr>
        <w:numPr>
          <w:ilvl w:val="0"/>
          <w:numId w:val="19"/>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Les clients sont informés et consultés sur la qualité et la sécurité des produits. </w:t>
      </w:r>
    </w:p>
    <w:p w14:paraId="151D56CC" w14:textId="77777777" w:rsidR="00B475E9" w:rsidRPr="00762E58" w:rsidRDefault="00B475E9" w:rsidP="00B475E9">
      <w:pPr>
        <w:numPr>
          <w:ilvl w:val="0"/>
          <w:numId w:val="19"/>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Les employés bénéficient d’un environnement transparent et intègre, avec des procédures d’alerte et des formations adaptées. </w:t>
      </w:r>
    </w:p>
    <w:p w14:paraId="2197847D" w14:textId="77777777" w:rsidR="00B475E9" w:rsidRPr="000B34DA" w:rsidRDefault="00B475E9" w:rsidP="00B475E9">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6.5 Perspectives et objectifs</w:t>
      </w:r>
    </w:p>
    <w:p w14:paraId="4CC2619D"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Pour renforcer ses pratiques d’éthique et d’achats responsables, NMBP prévoit de :</w:t>
      </w:r>
    </w:p>
    <w:p w14:paraId="58279256" w14:textId="77777777" w:rsidR="00B475E9" w:rsidRPr="00762E58" w:rsidRDefault="00B475E9" w:rsidP="00B475E9">
      <w:pPr>
        <w:numPr>
          <w:ilvl w:val="0"/>
          <w:numId w:val="20"/>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Augmenter le taux de fournisseurs stratégiques engagés dans la RSE et ayant signé la politique d’achats responsables. </w:t>
      </w:r>
    </w:p>
    <w:p w14:paraId="0125BFF8" w14:textId="77777777" w:rsidR="00B475E9" w:rsidRPr="00762E58" w:rsidRDefault="00B475E9" w:rsidP="00B475E9">
      <w:pPr>
        <w:numPr>
          <w:ilvl w:val="0"/>
          <w:numId w:val="20"/>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Développer des partenariats durables avec les fournisseurs locaux et responsables. </w:t>
      </w:r>
    </w:p>
    <w:p w14:paraId="20422E97" w14:textId="77777777" w:rsidR="00B475E9" w:rsidRPr="00762E58" w:rsidRDefault="00B475E9" w:rsidP="00B475E9">
      <w:pPr>
        <w:numPr>
          <w:ilvl w:val="0"/>
          <w:numId w:val="20"/>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Maintenir zéro incident d’éthique et renforcer la prévention des risques dans toutes les activités. </w:t>
      </w:r>
    </w:p>
    <w:p w14:paraId="260211C1" w14:textId="77777777" w:rsidR="00B475E9" w:rsidRPr="00762E58" w:rsidRDefault="00B475E9" w:rsidP="00B475E9">
      <w:pPr>
        <w:numPr>
          <w:ilvl w:val="0"/>
          <w:numId w:val="20"/>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Consolider la satisfaction client et diminuer le coût des réclamations via une approche proactive de la qualité. </w:t>
      </w:r>
    </w:p>
    <w:p w14:paraId="386FCF40"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Ces initiatives contribuent à </w:t>
      </w:r>
      <w:r w:rsidRPr="00762E58">
        <w:rPr>
          <w:rFonts w:ascii="Cavolini" w:eastAsia="Times New Roman" w:hAnsi="Cavolini" w:cs="Cavolini"/>
          <w:b/>
          <w:bCs/>
          <w:kern w:val="0"/>
          <w:sz w:val="20"/>
          <w:szCs w:val="20"/>
          <w:lang w:eastAsia="fr-FR"/>
          <w14:ligatures w14:val="none"/>
        </w:rPr>
        <w:t>assurer la conformité, la transparence et la durabilité de la chaîne d’approvisionnement</w:t>
      </w:r>
      <w:r w:rsidRPr="00762E58">
        <w:rPr>
          <w:rFonts w:ascii="Cavolini" w:eastAsia="Times New Roman" w:hAnsi="Cavolini" w:cs="Cavolini"/>
          <w:kern w:val="0"/>
          <w:sz w:val="20"/>
          <w:szCs w:val="20"/>
          <w:lang w:eastAsia="fr-FR"/>
          <w14:ligatures w14:val="none"/>
        </w:rPr>
        <w:t>, tout en renforçant la confiance des parties prenantes.</w:t>
      </w:r>
    </w:p>
    <w:p w14:paraId="55D5F455" w14:textId="77777777" w:rsidR="00B475E9" w:rsidRPr="000B34DA" w:rsidRDefault="00B475E9" w:rsidP="00B475E9">
      <w:pPr>
        <w:spacing w:before="100" w:beforeAutospacing="1" w:after="100" w:afterAutospacing="1" w:line="240" w:lineRule="auto"/>
        <w:outlineLvl w:val="1"/>
        <w:rPr>
          <w:rFonts w:ascii="Cavolini" w:eastAsia="Times New Roman" w:hAnsi="Cavolini" w:cs="Cavolini"/>
          <w:b/>
          <w:bCs/>
          <w:color w:val="156082" w:themeColor="accent1"/>
          <w:kern w:val="0"/>
          <w:sz w:val="24"/>
          <w:szCs w:val="24"/>
          <w:u w:val="single"/>
          <w:lang w:eastAsia="fr-FR"/>
          <w14:ligatures w14:val="none"/>
        </w:rPr>
      </w:pPr>
      <w:r w:rsidRPr="000B34DA">
        <w:rPr>
          <w:rFonts w:ascii="Cavolini" w:eastAsia="Times New Roman" w:hAnsi="Cavolini" w:cs="Cavolini"/>
          <w:b/>
          <w:bCs/>
          <w:color w:val="156082" w:themeColor="accent1"/>
          <w:kern w:val="0"/>
          <w:sz w:val="24"/>
          <w:szCs w:val="24"/>
          <w:u w:val="single"/>
          <w:lang w:eastAsia="fr-FR"/>
          <w14:ligatures w14:val="none"/>
        </w:rPr>
        <w:t>Conclusion générale et perspectives 2026</w:t>
      </w:r>
    </w:p>
    <w:p w14:paraId="0C0B4643"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L’année 2025 a été marquée par une </w:t>
      </w:r>
      <w:r w:rsidRPr="00762E58">
        <w:rPr>
          <w:rFonts w:ascii="Cavolini" w:eastAsia="Times New Roman" w:hAnsi="Cavolini" w:cs="Cavolini"/>
          <w:b/>
          <w:bCs/>
          <w:kern w:val="0"/>
          <w:sz w:val="20"/>
          <w:szCs w:val="20"/>
          <w:lang w:eastAsia="fr-FR"/>
          <w14:ligatures w14:val="none"/>
        </w:rPr>
        <w:t>consolidation des initiatives RSE</w:t>
      </w:r>
      <w:r w:rsidRPr="00762E58">
        <w:rPr>
          <w:rFonts w:ascii="Cavolini" w:eastAsia="Times New Roman" w:hAnsi="Cavolini" w:cs="Cavolini"/>
          <w:kern w:val="0"/>
          <w:sz w:val="20"/>
          <w:szCs w:val="20"/>
          <w:lang w:eastAsia="fr-FR"/>
          <w14:ligatures w14:val="none"/>
        </w:rPr>
        <w:t xml:space="preserve"> de NMBP, tant sur le plan social, environnemental qu’éthique. Les indicateurs analysés démontrent l’engagement continu de l’entreprise à améliorer ses pratiques et à intégrer la responsabilité sociétale au cœur de son modèle opérationnel.</w:t>
      </w:r>
    </w:p>
    <w:p w14:paraId="2793229A" w14:textId="77777777" w:rsidR="00B475E9" w:rsidRPr="000B34DA" w:rsidRDefault="00B475E9" w:rsidP="00B475E9">
      <w:pPr>
        <w:spacing w:before="100" w:beforeAutospacing="1" w:after="100" w:afterAutospacing="1" w:line="240" w:lineRule="auto"/>
        <w:outlineLvl w:val="2"/>
        <w:rPr>
          <w:rFonts w:ascii="Cavolini" w:eastAsia="Times New Roman" w:hAnsi="Cavolini" w:cs="Cavolini"/>
          <w:b/>
          <w:bCs/>
          <w:color w:val="156082" w:themeColor="accent1"/>
          <w:kern w:val="0"/>
          <w:sz w:val="20"/>
          <w:szCs w:val="20"/>
          <w:lang w:eastAsia="fr-FR"/>
          <w14:ligatures w14:val="none"/>
        </w:rPr>
      </w:pPr>
      <w:r w:rsidRPr="000B34DA">
        <w:rPr>
          <w:rFonts w:ascii="Cavolini" w:eastAsia="Times New Roman" w:hAnsi="Cavolini" w:cs="Cavolini"/>
          <w:b/>
          <w:bCs/>
          <w:color w:val="156082" w:themeColor="accent1"/>
          <w:kern w:val="0"/>
          <w:sz w:val="20"/>
          <w:szCs w:val="20"/>
          <w:lang w:eastAsia="fr-FR"/>
          <w14:ligatures w14:val="none"/>
        </w:rPr>
        <w:t>Bilan 2025</w:t>
      </w:r>
    </w:p>
    <w:p w14:paraId="1088188F" w14:textId="77777777" w:rsidR="000B34DA" w:rsidRDefault="00B475E9" w:rsidP="00B475E9">
      <w:pPr>
        <w:numPr>
          <w:ilvl w:val="0"/>
          <w:numId w:val="2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Social et droits humains</w:t>
      </w:r>
      <w:r w:rsidRPr="00762E58">
        <w:rPr>
          <w:rFonts w:ascii="Cavolini" w:eastAsia="Times New Roman" w:hAnsi="Cavolini" w:cs="Cavolini"/>
          <w:kern w:val="0"/>
          <w:sz w:val="20"/>
          <w:szCs w:val="20"/>
          <w:lang w:eastAsia="fr-FR"/>
          <w14:ligatures w14:val="none"/>
        </w:rPr>
        <w:t xml:space="preserve"> :</w:t>
      </w:r>
      <w:r w:rsidRPr="00762E58">
        <w:rPr>
          <w:rFonts w:ascii="Cavolini" w:eastAsia="Times New Roman" w:hAnsi="Cavolini" w:cs="Cavolini"/>
          <w:kern w:val="0"/>
          <w:sz w:val="20"/>
          <w:szCs w:val="20"/>
          <w:lang w:eastAsia="fr-FR"/>
          <w14:ligatures w14:val="none"/>
        </w:rPr>
        <w:br/>
        <w:t xml:space="preserve">La politique sociale a permis de maintenir un environnement de travail sûr et motivant. Le taux de turnover (25 %) et l’absentéisme (7,33 %) reflètent les efforts en matière de fidélisation et de qualité de vie au travail. La participation aux événements conviviaux et aux enquêtes QVT </w:t>
      </w:r>
    </w:p>
    <w:p w14:paraId="677FB3CA" w14:textId="77777777" w:rsidR="000B34DA" w:rsidRDefault="000B34DA" w:rsidP="000B34DA">
      <w:pPr>
        <w:spacing w:before="100" w:beforeAutospacing="1" w:after="100" w:afterAutospacing="1" w:line="240" w:lineRule="auto"/>
        <w:ind w:left="720"/>
        <w:rPr>
          <w:rFonts w:ascii="Cavolini" w:eastAsia="Times New Roman" w:hAnsi="Cavolini" w:cs="Cavolini"/>
          <w:kern w:val="0"/>
          <w:sz w:val="20"/>
          <w:szCs w:val="20"/>
          <w:lang w:eastAsia="fr-FR"/>
          <w14:ligatures w14:val="none"/>
        </w:rPr>
      </w:pPr>
    </w:p>
    <w:p w14:paraId="52A33281" w14:textId="3F112A14" w:rsidR="00B475E9" w:rsidRPr="00762E58" w:rsidRDefault="00B475E9" w:rsidP="00B475E9">
      <w:pPr>
        <w:numPr>
          <w:ilvl w:val="0"/>
          <w:numId w:val="2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(94 %) montre un fort engagement des collaborateurs et une satisfaction globale élevée (82 %). </w:t>
      </w:r>
    </w:p>
    <w:p w14:paraId="59D5606B" w14:textId="77777777" w:rsidR="00B475E9" w:rsidRPr="00762E58" w:rsidRDefault="00B475E9" w:rsidP="00B475E9">
      <w:pPr>
        <w:numPr>
          <w:ilvl w:val="0"/>
          <w:numId w:val="2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Santé, sécurité et conditions de travail</w:t>
      </w:r>
      <w:r w:rsidRPr="00762E58">
        <w:rPr>
          <w:rFonts w:ascii="Cavolini" w:eastAsia="Times New Roman" w:hAnsi="Cavolini" w:cs="Cavolini"/>
          <w:kern w:val="0"/>
          <w:sz w:val="20"/>
          <w:szCs w:val="20"/>
          <w:lang w:eastAsia="fr-FR"/>
          <w14:ligatures w14:val="none"/>
        </w:rPr>
        <w:t xml:space="preserve"> :</w:t>
      </w:r>
      <w:r w:rsidRPr="00762E58">
        <w:rPr>
          <w:rFonts w:ascii="Cavolini" w:eastAsia="Times New Roman" w:hAnsi="Cavolini" w:cs="Cavolini"/>
          <w:kern w:val="0"/>
          <w:sz w:val="20"/>
          <w:szCs w:val="20"/>
          <w:lang w:eastAsia="fr-FR"/>
          <w14:ligatures w14:val="none"/>
        </w:rPr>
        <w:br/>
        <w:t xml:space="preserve">Les indicateurs d’accidents avec arrêt et de gravité des incidents démontrent une vigilance constante et l’efficacité des mesures préventives. Le suivi des formations SST et des entretiens annuels renforce la culture sécurité et le développement des compétences. </w:t>
      </w:r>
    </w:p>
    <w:p w14:paraId="69E0D5BD" w14:textId="77777777" w:rsidR="00B475E9" w:rsidRPr="00762E58" w:rsidRDefault="00B475E9" w:rsidP="00B475E9">
      <w:pPr>
        <w:numPr>
          <w:ilvl w:val="0"/>
          <w:numId w:val="2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Environnement et consommation de ressources</w:t>
      </w:r>
      <w:r w:rsidRPr="00762E58">
        <w:rPr>
          <w:rFonts w:ascii="Cavolini" w:eastAsia="Times New Roman" w:hAnsi="Cavolini" w:cs="Cavolini"/>
          <w:kern w:val="0"/>
          <w:sz w:val="20"/>
          <w:szCs w:val="20"/>
          <w:lang w:eastAsia="fr-FR"/>
          <w14:ligatures w14:val="none"/>
        </w:rPr>
        <w:t xml:space="preserve"> :</w:t>
      </w:r>
      <w:r w:rsidRPr="00762E58">
        <w:rPr>
          <w:rFonts w:ascii="Cavolini" w:eastAsia="Times New Roman" w:hAnsi="Cavolini" w:cs="Cavolini"/>
          <w:kern w:val="0"/>
          <w:sz w:val="20"/>
          <w:szCs w:val="20"/>
          <w:lang w:eastAsia="fr-FR"/>
          <w14:ligatures w14:val="none"/>
        </w:rPr>
        <w:br/>
        <w:t xml:space="preserve">Les efforts de NMBP pour réduire son empreinte écologique sont visibles dans la diminution progressive de la consommation énergétique par tonne produite et dans la valorisation des déchets (87,9 % de valorisation </w:t>
      </w:r>
      <w:r w:rsidRPr="00762E58">
        <w:rPr>
          <w:rFonts w:ascii="Cavolini" w:eastAsia="Times New Roman" w:hAnsi="Cavolini" w:cs="Cavolini"/>
          <w:kern w:val="0"/>
          <w:sz w:val="20"/>
          <w:szCs w:val="20"/>
          <w:lang w:eastAsia="fr-FR"/>
          <w14:ligatures w14:val="none"/>
        </w:rPr>
        <w:lastRenderedPageBreak/>
        <w:t xml:space="preserve">totale). L’entreprise continue d’optimiser sa gestion des matières premières, tout en maîtrisant les ratios de rebuts et la consommation d’eau et de gaz. </w:t>
      </w:r>
    </w:p>
    <w:p w14:paraId="7174B0F0" w14:textId="77777777" w:rsidR="00B475E9" w:rsidRPr="00762E58" w:rsidRDefault="00B475E9" w:rsidP="00B475E9">
      <w:pPr>
        <w:numPr>
          <w:ilvl w:val="0"/>
          <w:numId w:val="21"/>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Éthique et achats responsables</w:t>
      </w:r>
      <w:r w:rsidRPr="00762E58">
        <w:rPr>
          <w:rFonts w:ascii="Cavolini" w:eastAsia="Times New Roman" w:hAnsi="Cavolini" w:cs="Cavolini"/>
          <w:kern w:val="0"/>
          <w:sz w:val="20"/>
          <w:szCs w:val="20"/>
          <w:lang w:eastAsia="fr-FR"/>
          <w14:ligatures w14:val="none"/>
        </w:rPr>
        <w:t xml:space="preserve"> :</w:t>
      </w:r>
      <w:r w:rsidRPr="00762E58">
        <w:rPr>
          <w:rFonts w:ascii="Cavolini" w:eastAsia="Times New Roman" w:hAnsi="Cavolini" w:cs="Cavolini"/>
          <w:kern w:val="0"/>
          <w:sz w:val="20"/>
          <w:szCs w:val="20"/>
          <w:lang w:eastAsia="fr-FR"/>
          <w14:ligatures w14:val="none"/>
        </w:rPr>
        <w:br/>
        <w:t xml:space="preserve">NMBP a maintenu zéro incident éthique ou de corruption, témoignant d’une culture forte de transparence et d’intégrité. Les initiatives d’achats responsables et de dialogue avec les fournisseurs stratégiques (54 % engagés sur la RSE) renforcent la durabilité et la responsabilité de la chaîne d’approvisionnement. </w:t>
      </w:r>
    </w:p>
    <w:p w14:paraId="24B4DC01" w14:textId="77777777" w:rsidR="00B475E9" w:rsidRPr="000B34DA" w:rsidRDefault="00B475E9" w:rsidP="00B475E9">
      <w:pPr>
        <w:spacing w:before="100" w:beforeAutospacing="1" w:after="100" w:afterAutospacing="1" w:line="240" w:lineRule="auto"/>
        <w:outlineLvl w:val="2"/>
        <w:rPr>
          <w:rFonts w:ascii="Cavolini" w:eastAsia="Times New Roman" w:hAnsi="Cavolini" w:cs="Cavolini"/>
          <w:b/>
          <w:bCs/>
          <w:color w:val="156082" w:themeColor="accent1"/>
          <w:kern w:val="0"/>
          <w:sz w:val="24"/>
          <w:szCs w:val="24"/>
          <w:u w:val="single"/>
          <w:lang w:eastAsia="fr-FR"/>
          <w14:ligatures w14:val="none"/>
        </w:rPr>
      </w:pPr>
      <w:r w:rsidRPr="000B34DA">
        <w:rPr>
          <w:rFonts w:ascii="Cavolini" w:eastAsia="Times New Roman" w:hAnsi="Cavolini" w:cs="Cavolini"/>
          <w:b/>
          <w:bCs/>
          <w:color w:val="156082" w:themeColor="accent1"/>
          <w:kern w:val="0"/>
          <w:sz w:val="24"/>
          <w:szCs w:val="24"/>
          <w:u w:val="single"/>
          <w:lang w:eastAsia="fr-FR"/>
          <w14:ligatures w14:val="none"/>
        </w:rPr>
        <w:t>Perspectives pour 2026</w:t>
      </w:r>
    </w:p>
    <w:p w14:paraId="4968CCBB"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Pour l’année à venir, NMBP se fixe plusieurs objectifs prioritaires :</w:t>
      </w:r>
    </w:p>
    <w:p w14:paraId="54830EE1" w14:textId="77777777" w:rsidR="00B475E9" w:rsidRPr="00762E58" w:rsidRDefault="00B475E9" w:rsidP="00B475E9">
      <w:pPr>
        <w:numPr>
          <w:ilvl w:val="0"/>
          <w:numId w:val="2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Renforcer la prévention et la sécurité au travail</w:t>
      </w:r>
      <w:r w:rsidRPr="00762E58">
        <w:rPr>
          <w:rFonts w:ascii="Cavolini" w:eastAsia="Times New Roman" w:hAnsi="Cavolini" w:cs="Cavolini"/>
          <w:kern w:val="0"/>
          <w:sz w:val="20"/>
          <w:szCs w:val="20"/>
          <w:lang w:eastAsia="fr-FR"/>
          <w14:ligatures w14:val="none"/>
        </w:rPr>
        <w:t xml:space="preserve">, avec un suivi accru des indicateurs SST et la poursuite des formations et sensibilisations. </w:t>
      </w:r>
    </w:p>
    <w:p w14:paraId="42DEABA0" w14:textId="77777777" w:rsidR="00B475E9" w:rsidRPr="00762E58" w:rsidRDefault="00B475E9" w:rsidP="00B475E9">
      <w:pPr>
        <w:numPr>
          <w:ilvl w:val="0"/>
          <w:numId w:val="2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Accroître l’engagement des fournisseurs stratégiques</w:t>
      </w:r>
      <w:r w:rsidRPr="00762E58">
        <w:rPr>
          <w:rFonts w:ascii="Cavolini" w:eastAsia="Times New Roman" w:hAnsi="Cavolini" w:cs="Cavolini"/>
          <w:kern w:val="0"/>
          <w:sz w:val="20"/>
          <w:szCs w:val="20"/>
          <w:lang w:eastAsia="fr-FR"/>
          <w14:ligatures w14:val="none"/>
        </w:rPr>
        <w:t xml:space="preserve"> dans les démarches RSE et la signature des politiques d’achats responsables. </w:t>
      </w:r>
    </w:p>
    <w:p w14:paraId="736AE373" w14:textId="77777777" w:rsidR="00B475E9" w:rsidRPr="00762E58" w:rsidRDefault="00B475E9" w:rsidP="00B475E9">
      <w:pPr>
        <w:numPr>
          <w:ilvl w:val="0"/>
          <w:numId w:val="2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Réduire davantage l’empreinte environnementale</w:t>
      </w:r>
      <w:r w:rsidRPr="00762E58">
        <w:rPr>
          <w:rFonts w:ascii="Cavolini" w:eastAsia="Times New Roman" w:hAnsi="Cavolini" w:cs="Cavolini"/>
          <w:kern w:val="0"/>
          <w:sz w:val="20"/>
          <w:szCs w:val="20"/>
          <w:lang w:eastAsia="fr-FR"/>
          <w14:ligatures w14:val="none"/>
        </w:rPr>
        <w:t xml:space="preserve">, notamment en optimisant la consommation d’énergie, d’eau et de gaz, et en améliorant la valorisation des déchets. </w:t>
      </w:r>
    </w:p>
    <w:p w14:paraId="66A4BA2C" w14:textId="77777777" w:rsidR="00B475E9" w:rsidRPr="00762E58" w:rsidRDefault="00B475E9" w:rsidP="00B475E9">
      <w:pPr>
        <w:numPr>
          <w:ilvl w:val="0"/>
          <w:numId w:val="2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Maintenir une culture éthique irréprochable</w:t>
      </w:r>
      <w:r w:rsidRPr="00762E58">
        <w:rPr>
          <w:rFonts w:ascii="Cavolini" w:eastAsia="Times New Roman" w:hAnsi="Cavolini" w:cs="Cavolini"/>
          <w:kern w:val="0"/>
          <w:sz w:val="20"/>
          <w:szCs w:val="20"/>
          <w:lang w:eastAsia="fr-FR"/>
          <w14:ligatures w14:val="none"/>
        </w:rPr>
        <w:t xml:space="preserve">, en assurant un suivi des procédures d’alerte et en favorisant la transparence dans toutes les activités. </w:t>
      </w:r>
    </w:p>
    <w:p w14:paraId="58870C84" w14:textId="77777777" w:rsidR="00B475E9" w:rsidRPr="00762E58" w:rsidRDefault="00B475E9" w:rsidP="00B475E9">
      <w:pPr>
        <w:numPr>
          <w:ilvl w:val="0"/>
          <w:numId w:val="22"/>
        </w:num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b/>
          <w:bCs/>
          <w:kern w:val="0"/>
          <w:sz w:val="20"/>
          <w:szCs w:val="20"/>
          <w:lang w:eastAsia="fr-FR"/>
          <w14:ligatures w14:val="none"/>
        </w:rPr>
        <w:t>Consolider la qualité de vie au travail</w:t>
      </w:r>
      <w:r w:rsidRPr="00762E58">
        <w:rPr>
          <w:rFonts w:ascii="Cavolini" w:eastAsia="Times New Roman" w:hAnsi="Cavolini" w:cs="Cavolini"/>
          <w:kern w:val="0"/>
          <w:sz w:val="20"/>
          <w:szCs w:val="20"/>
          <w:lang w:eastAsia="fr-FR"/>
          <w14:ligatures w14:val="none"/>
        </w:rPr>
        <w:t xml:space="preserve">, à travers des actions concrètes pour le bien-être des collaborateurs et le renforcement du dialogue social. </w:t>
      </w:r>
    </w:p>
    <w:p w14:paraId="4FF7F852" w14:textId="77777777" w:rsidR="00B475E9" w:rsidRPr="00762E58" w:rsidRDefault="00B475E9" w:rsidP="00B475E9">
      <w:pPr>
        <w:spacing w:before="100" w:beforeAutospacing="1" w:after="100" w:afterAutospacing="1" w:line="240" w:lineRule="auto"/>
        <w:rPr>
          <w:rFonts w:ascii="Cavolini" w:eastAsia="Times New Roman" w:hAnsi="Cavolini" w:cs="Cavolini"/>
          <w:kern w:val="0"/>
          <w:sz w:val="20"/>
          <w:szCs w:val="20"/>
          <w:lang w:eastAsia="fr-FR"/>
          <w14:ligatures w14:val="none"/>
        </w:rPr>
      </w:pPr>
      <w:r w:rsidRPr="00762E58">
        <w:rPr>
          <w:rFonts w:ascii="Cavolini" w:eastAsia="Times New Roman" w:hAnsi="Cavolini" w:cs="Cavolini"/>
          <w:kern w:val="0"/>
          <w:sz w:val="20"/>
          <w:szCs w:val="20"/>
          <w:lang w:eastAsia="fr-FR"/>
          <w14:ligatures w14:val="none"/>
        </w:rPr>
        <w:t xml:space="preserve">En conclusion, NMBP confirme que </w:t>
      </w:r>
      <w:r w:rsidRPr="00762E58">
        <w:rPr>
          <w:rFonts w:ascii="Cavolini" w:eastAsia="Times New Roman" w:hAnsi="Cavolini" w:cs="Cavolini"/>
          <w:b/>
          <w:bCs/>
          <w:kern w:val="0"/>
          <w:sz w:val="20"/>
          <w:szCs w:val="20"/>
          <w:lang w:eastAsia="fr-FR"/>
          <w14:ligatures w14:val="none"/>
        </w:rPr>
        <w:t>la responsabilité sociétale est un levier stratégique</w:t>
      </w:r>
      <w:r w:rsidRPr="00762E58">
        <w:rPr>
          <w:rFonts w:ascii="Cavolini" w:eastAsia="Times New Roman" w:hAnsi="Cavolini" w:cs="Cavolini"/>
          <w:kern w:val="0"/>
          <w:sz w:val="20"/>
          <w:szCs w:val="20"/>
          <w:lang w:eastAsia="fr-FR"/>
          <w14:ligatures w14:val="none"/>
        </w:rPr>
        <w:t xml:space="preserve"> pour la performance durable de l’entreprise. Les actions menées en 2025 posent les bases d’une amélioration continue, visant à concilier performance économique, respect des personnes et protection de l’environnement.</w:t>
      </w:r>
    </w:p>
    <w:p w14:paraId="46F349C1" w14:textId="77777777" w:rsidR="005F4E04" w:rsidRPr="00762E58" w:rsidRDefault="005F4E04">
      <w:pPr>
        <w:rPr>
          <w:rFonts w:ascii="Cavolini" w:hAnsi="Cavolini" w:cs="Cavolini"/>
          <w:sz w:val="20"/>
          <w:szCs w:val="20"/>
        </w:rPr>
      </w:pPr>
    </w:p>
    <w:sectPr w:rsidR="005F4E04" w:rsidRPr="00762E58">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67C3E" w14:textId="77777777" w:rsidR="00565A68" w:rsidRDefault="00565A68" w:rsidP="00762E58">
      <w:pPr>
        <w:spacing w:after="0" w:line="240" w:lineRule="auto"/>
      </w:pPr>
      <w:r>
        <w:separator/>
      </w:r>
    </w:p>
  </w:endnote>
  <w:endnote w:type="continuationSeparator" w:id="0">
    <w:p w14:paraId="2F53D72A" w14:textId="77777777" w:rsidR="00565A68" w:rsidRDefault="00565A68" w:rsidP="00762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16779" w14:textId="77777777" w:rsidR="00565A68" w:rsidRDefault="00565A68" w:rsidP="00762E58">
      <w:pPr>
        <w:spacing w:after="0" w:line="240" w:lineRule="auto"/>
      </w:pPr>
      <w:r>
        <w:separator/>
      </w:r>
    </w:p>
  </w:footnote>
  <w:footnote w:type="continuationSeparator" w:id="0">
    <w:p w14:paraId="09BC9A14" w14:textId="77777777" w:rsidR="00565A68" w:rsidRDefault="00565A68" w:rsidP="00762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B314" w14:textId="3DA584DC" w:rsidR="00762E58" w:rsidRPr="00762E58" w:rsidRDefault="00762E58" w:rsidP="00762E58">
    <w:pPr>
      <w:pStyle w:val="En-tte"/>
    </w:pPr>
    <w:r w:rsidRPr="001834D2">
      <w:rPr>
        <w:noProof/>
      </w:rPr>
      <w:drawing>
        <wp:anchor distT="0" distB="0" distL="114300" distR="114300" simplePos="0" relativeHeight="251658240" behindDoc="1" locked="0" layoutInCell="1" allowOverlap="1" wp14:anchorId="04627306" wp14:editId="63ECEC17">
          <wp:simplePos x="0" y="0"/>
          <wp:positionH relativeFrom="column">
            <wp:posOffset>-737870</wp:posOffset>
          </wp:positionH>
          <wp:positionV relativeFrom="paragraph">
            <wp:posOffset>-382905</wp:posOffset>
          </wp:positionV>
          <wp:extent cx="7277100" cy="781050"/>
          <wp:effectExtent l="0" t="0" r="0" b="0"/>
          <wp:wrapTight wrapText="bothSides">
            <wp:wrapPolygon edited="0">
              <wp:start x="2884" y="0"/>
              <wp:lineTo x="2827" y="6322"/>
              <wp:lineTo x="3223" y="9483"/>
              <wp:lineTo x="3053" y="9483"/>
              <wp:lineTo x="2827" y="11063"/>
              <wp:lineTo x="2827" y="17912"/>
              <wp:lineTo x="4071" y="21073"/>
              <wp:lineTo x="4580" y="21073"/>
              <wp:lineTo x="4806" y="20546"/>
              <wp:lineTo x="6276" y="18439"/>
              <wp:lineTo x="6333" y="12117"/>
              <wp:lineTo x="6107" y="9483"/>
              <wp:lineTo x="5428" y="9483"/>
              <wp:lineTo x="19169" y="6322"/>
              <wp:lineTo x="19225" y="1054"/>
              <wp:lineTo x="8538" y="0"/>
              <wp:lineTo x="2884" y="0"/>
            </wp:wrapPolygon>
          </wp:wrapTight>
          <wp:docPr id="140833914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
                    <a:extLst>
                      <a:ext uri="{28A0092B-C50C-407E-A947-70E740481C1C}">
                        <a14:useLocalDpi xmlns:a14="http://schemas.microsoft.com/office/drawing/2010/main" val="0"/>
                      </a:ext>
                    </a:extLst>
                  </a:blip>
                  <a:srcRect l="-17680" t="-2469" r="-14301"/>
                  <a:stretch>
                    <a:fillRect/>
                  </a:stretch>
                </pic:blipFill>
                <pic:spPr bwMode="auto">
                  <a:xfrm>
                    <a:off x="0" y="0"/>
                    <a:ext cx="72771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367BE"/>
    <w:multiLevelType w:val="multilevel"/>
    <w:tmpl w:val="78E4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00BE3"/>
    <w:multiLevelType w:val="multilevel"/>
    <w:tmpl w:val="7B46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175EF"/>
    <w:multiLevelType w:val="hybridMultilevel"/>
    <w:tmpl w:val="0C42C2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551234"/>
    <w:multiLevelType w:val="multilevel"/>
    <w:tmpl w:val="F7E0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043FC"/>
    <w:multiLevelType w:val="multilevel"/>
    <w:tmpl w:val="AC2E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811B48"/>
    <w:multiLevelType w:val="multilevel"/>
    <w:tmpl w:val="AEB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42B3C"/>
    <w:multiLevelType w:val="multilevel"/>
    <w:tmpl w:val="92C8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D3C0E"/>
    <w:multiLevelType w:val="multilevel"/>
    <w:tmpl w:val="64C6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B344B"/>
    <w:multiLevelType w:val="multilevel"/>
    <w:tmpl w:val="DC84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317FD4"/>
    <w:multiLevelType w:val="multilevel"/>
    <w:tmpl w:val="8FD4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F3609A"/>
    <w:multiLevelType w:val="multilevel"/>
    <w:tmpl w:val="8EB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346F7B"/>
    <w:multiLevelType w:val="multilevel"/>
    <w:tmpl w:val="03E6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9B4673"/>
    <w:multiLevelType w:val="multilevel"/>
    <w:tmpl w:val="D5F4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955447"/>
    <w:multiLevelType w:val="multilevel"/>
    <w:tmpl w:val="BA0C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D56A5F"/>
    <w:multiLevelType w:val="multilevel"/>
    <w:tmpl w:val="0CB2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CA7E87"/>
    <w:multiLevelType w:val="multilevel"/>
    <w:tmpl w:val="BD0E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F7DC9"/>
    <w:multiLevelType w:val="multilevel"/>
    <w:tmpl w:val="DD2E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5C42F9"/>
    <w:multiLevelType w:val="multilevel"/>
    <w:tmpl w:val="085E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9A7863"/>
    <w:multiLevelType w:val="multilevel"/>
    <w:tmpl w:val="73CE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3E06CA"/>
    <w:multiLevelType w:val="multilevel"/>
    <w:tmpl w:val="48B0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B42696"/>
    <w:multiLevelType w:val="multilevel"/>
    <w:tmpl w:val="0D10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DB3DAB"/>
    <w:multiLevelType w:val="multilevel"/>
    <w:tmpl w:val="0338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567CA0"/>
    <w:multiLevelType w:val="multilevel"/>
    <w:tmpl w:val="C940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1781377">
    <w:abstractNumId w:val="5"/>
  </w:num>
  <w:num w:numId="2" w16cid:durableId="1648245838">
    <w:abstractNumId w:val="4"/>
  </w:num>
  <w:num w:numId="3" w16cid:durableId="1543247695">
    <w:abstractNumId w:val="0"/>
  </w:num>
  <w:num w:numId="4" w16cid:durableId="2072462108">
    <w:abstractNumId w:val="13"/>
  </w:num>
  <w:num w:numId="5" w16cid:durableId="704446566">
    <w:abstractNumId w:val="11"/>
  </w:num>
  <w:num w:numId="6" w16cid:durableId="1174959059">
    <w:abstractNumId w:val="22"/>
  </w:num>
  <w:num w:numId="7" w16cid:durableId="1620140022">
    <w:abstractNumId w:val="15"/>
  </w:num>
  <w:num w:numId="8" w16cid:durableId="149832142">
    <w:abstractNumId w:val="8"/>
  </w:num>
  <w:num w:numId="9" w16cid:durableId="1002977607">
    <w:abstractNumId w:val="12"/>
  </w:num>
  <w:num w:numId="10" w16cid:durableId="221446739">
    <w:abstractNumId w:val="1"/>
  </w:num>
  <w:num w:numId="11" w16cid:durableId="1036467476">
    <w:abstractNumId w:val="18"/>
  </w:num>
  <w:num w:numId="12" w16cid:durableId="1677077884">
    <w:abstractNumId w:val="20"/>
  </w:num>
  <w:num w:numId="13" w16cid:durableId="1303385033">
    <w:abstractNumId w:val="6"/>
  </w:num>
  <w:num w:numId="14" w16cid:durableId="1895189401">
    <w:abstractNumId w:val="10"/>
  </w:num>
  <w:num w:numId="15" w16cid:durableId="1982883085">
    <w:abstractNumId w:val="21"/>
  </w:num>
  <w:num w:numId="16" w16cid:durableId="495997966">
    <w:abstractNumId w:val="19"/>
  </w:num>
  <w:num w:numId="17" w16cid:durableId="1524510372">
    <w:abstractNumId w:val="17"/>
  </w:num>
  <w:num w:numId="18" w16cid:durableId="1228804244">
    <w:abstractNumId w:val="16"/>
  </w:num>
  <w:num w:numId="19" w16cid:durableId="1415858151">
    <w:abstractNumId w:val="7"/>
  </w:num>
  <w:num w:numId="20" w16cid:durableId="1558668767">
    <w:abstractNumId w:val="3"/>
  </w:num>
  <w:num w:numId="21" w16cid:durableId="92865677">
    <w:abstractNumId w:val="9"/>
  </w:num>
  <w:num w:numId="22" w16cid:durableId="1396586170">
    <w:abstractNumId w:val="14"/>
  </w:num>
  <w:num w:numId="23" w16cid:durableId="1443767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6A"/>
    <w:rsid w:val="000B1A4B"/>
    <w:rsid w:val="000B34DA"/>
    <w:rsid w:val="00202865"/>
    <w:rsid w:val="00281CA5"/>
    <w:rsid w:val="00284111"/>
    <w:rsid w:val="00301A46"/>
    <w:rsid w:val="00337B33"/>
    <w:rsid w:val="00381A87"/>
    <w:rsid w:val="00446B0E"/>
    <w:rsid w:val="004645D8"/>
    <w:rsid w:val="004B792B"/>
    <w:rsid w:val="004F15C0"/>
    <w:rsid w:val="00565A68"/>
    <w:rsid w:val="005C6AED"/>
    <w:rsid w:val="005F4E04"/>
    <w:rsid w:val="00664110"/>
    <w:rsid w:val="00762E58"/>
    <w:rsid w:val="00765AFB"/>
    <w:rsid w:val="007E0BFF"/>
    <w:rsid w:val="009E2CD8"/>
    <w:rsid w:val="00A94A05"/>
    <w:rsid w:val="00B475E9"/>
    <w:rsid w:val="00BA66A8"/>
    <w:rsid w:val="00C3304D"/>
    <w:rsid w:val="00C71E49"/>
    <w:rsid w:val="00C8100A"/>
    <w:rsid w:val="00CA3203"/>
    <w:rsid w:val="00D97116"/>
    <w:rsid w:val="00DC24F5"/>
    <w:rsid w:val="00E6271E"/>
    <w:rsid w:val="00EE7AA0"/>
    <w:rsid w:val="00EF13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3EBD8"/>
  <w15:chartTrackingRefBased/>
  <w15:docId w15:val="{ECCB8328-FD51-418C-BB65-0E62CEC7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F13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F13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F136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F136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F136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F136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F136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F136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F136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F136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F136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F136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F136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F136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F136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F136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F136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F136A"/>
    <w:rPr>
      <w:rFonts w:eastAsiaTheme="majorEastAsia" w:cstheme="majorBidi"/>
      <w:color w:val="272727" w:themeColor="text1" w:themeTint="D8"/>
    </w:rPr>
  </w:style>
  <w:style w:type="paragraph" w:styleId="Titre">
    <w:name w:val="Title"/>
    <w:basedOn w:val="Normal"/>
    <w:next w:val="Normal"/>
    <w:link w:val="TitreCar"/>
    <w:uiPriority w:val="10"/>
    <w:qFormat/>
    <w:rsid w:val="00EF13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F136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F136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F136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F136A"/>
    <w:pPr>
      <w:spacing w:before="160"/>
      <w:jc w:val="center"/>
    </w:pPr>
    <w:rPr>
      <w:i/>
      <w:iCs/>
      <w:color w:val="404040" w:themeColor="text1" w:themeTint="BF"/>
    </w:rPr>
  </w:style>
  <w:style w:type="character" w:customStyle="1" w:styleId="CitationCar">
    <w:name w:val="Citation Car"/>
    <w:basedOn w:val="Policepardfaut"/>
    <w:link w:val="Citation"/>
    <w:uiPriority w:val="29"/>
    <w:rsid w:val="00EF136A"/>
    <w:rPr>
      <w:i/>
      <w:iCs/>
      <w:color w:val="404040" w:themeColor="text1" w:themeTint="BF"/>
    </w:rPr>
  </w:style>
  <w:style w:type="paragraph" w:styleId="Paragraphedeliste">
    <w:name w:val="List Paragraph"/>
    <w:basedOn w:val="Normal"/>
    <w:uiPriority w:val="34"/>
    <w:qFormat/>
    <w:rsid w:val="00EF136A"/>
    <w:pPr>
      <w:ind w:left="720"/>
      <w:contextualSpacing/>
    </w:pPr>
  </w:style>
  <w:style w:type="character" w:styleId="Accentuationintense">
    <w:name w:val="Intense Emphasis"/>
    <w:basedOn w:val="Policepardfaut"/>
    <w:uiPriority w:val="21"/>
    <w:qFormat/>
    <w:rsid w:val="00EF136A"/>
    <w:rPr>
      <w:i/>
      <w:iCs/>
      <w:color w:val="0F4761" w:themeColor="accent1" w:themeShade="BF"/>
    </w:rPr>
  </w:style>
  <w:style w:type="paragraph" w:styleId="Citationintense">
    <w:name w:val="Intense Quote"/>
    <w:basedOn w:val="Normal"/>
    <w:next w:val="Normal"/>
    <w:link w:val="CitationintenseCar"/>
    <w:uiPriority w:val="30"/>
    <w:qFormat/>
    <w:rsid w:val="00EF13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F136A"/>
    <w:rPr>
      <w:i/>
      <w:iCs/>
      <w:color w:val="0F4761" w:themeColor="accent1" w:themeShade="BF"/>
    </w:rPr>
  </w:style>
  <w:style w:type="character" w:styleId="Rfrenceintense">
    <w:name w:val="Intense Reference"/>
    <w:basedOn w:val="Policepardfaut"/>
    <w:uiPriority w:val="32"/>
    <w:qFormat/>
    <w:rsid w:val="00EF136A"/>
    <w:rPr>
      <w:b/>
      <w:bCs/>
      <w:smallCaps/>
      <w:color w:val="0F4761" w:themeColor="accent1" w:themeShade="BF"/>
      <w:spacing w:val="5"/>
    </w:rPr>
  </w:style>
  <w:style w:type="paragraph" w:styleId="En-tte">
    <w:name w:val="header"/>
    <w:basedOn w:val="Normal"/>
    <w:link w:val="En-tteCar"/>
    <w:uiPriority w:val="99"/>
    <w:unhideWhenUsed/>
    <w:rsid w:val="00762E58"/>
    <w:pPr>
      <w:tabs>
        <w:tab w:val="center" w:pos="4536"/>
        <w:tab w:val="right" w:pos="9072"/>
      </w:tabs>
      <w:spacing w:after="0" w:line="240" w:lineRule="auto"/>
    </w:pPr>
  </w:style>
  <w:style w:type="character" w:customStyle="1" w:styleId="En-tteCar">
    <w:name w:val="En-tête Car"/>
    <w:basedOn w:val="Policepardfaut"/>
    <w:link w:val="En-tte"/>
    <w:uiPriority w:val="99"/>
    <w:rsid w:val="00762E58"/>
  </w:style>
  <w:style w:type="paragraph" w:styleId="Pieddepage">
    <w:name w:val="footer"/>
    <w:basedOn w:val="Normal"/>
    <w:link w:val="PieddepageCar"/>
    <w:uiPriority w:val="99"/>
    <w:unhideWhenUsed/>
    <w:rsid w:val="00762E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2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lineChart>
        <c:grouping val="standard"/>
        <c:varyColors val="0"/>
        <c:ser>
          <c:idx val="0"/>
          <c:order val="0"/>
          <c:tx>
            <c:strRef>
              <c:f>Feuil3!$B$1</c:f>
              <c:strCache>
                <c:ptCount val="1"/>
                <c:pt idx="0">
                  <c:v>SCOPE 1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Feuil3!$A$2:$A$5</c:f>
              <c:numCache>
                <c:formatCode>General</c:formatCode>
                <c:ptCount val="4"/>
                <c:pt idx="0">
                  <c:v>2022</c:v>
                </c:pt>
                <c:pt idx="1">
                  <c:v>2023</c:v>
                </c:pt>
                <c:pt idx="2">
                  <c:v>2024</c:v>
                </c:pt>
                <c:pt idx="3">
                  <c:v>2025</c:v>
                </c:pt>
              </c:numCache>
            </c:numRef>
          </c:cat>
          <c:val>
            <c:numRef>
              <c:f>Feuil3!$B$2:$B$5</c:f>
              <c:numCache>
                <c:formatCode>General</c:formatCode>
                <c:ptCount val="4"/>
                <c:pt idx="0">
                  <c:v>36</c:v>
                </c:pt>
                <c:pt idx="1">
                  <c:v>0</c:v>
                </c:pt>
                <c:pt idx="2">
                  <c:v>30</c:v>
                </c:pt>
                <c:pt idx="3">
                  <c:v>36</c:v>
                </c:pt>
              </c:numCache>
            </c:numRef>
          </c:val>
          <c:smooth val="0"/>
          <c:extLst>
            <c:ext xmlns:c16="http://schemas.microsoft.com/office/drawing/2014/chart" uri="{C3380CC4-5D6E-409C-BE32-E72D297353CC}">
              <c16:uniqueId val="{00000000-2EDA-46BD-80DC-FA0E23454F77}"/>
            </c:ext>
          </c:extLst>
        </c:ser>
        <c:dLbls>
          <c:dLblPos val="ctr"/>
          <c:showLegendKey val="0"/>
          <c:showVal val="1"/>
          <c:showCatName val="0"/>
          <c:showSerName val="0"/>
          <c:showPercent val="0"/>
          <c:showBubbleSize val="0"/>
        </c:dLbls>
        <c:marker val="1"/>
        <c:smooth val="0"/>
        <c:axId val="1262088416"/>
        <c:axId val="1262088896"/>
      </c:lineChart>
      <c:catAx>
        <c:axId val="1262088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262088896"/>
        <c:crosses val="autoZero"/>
        <c:auto val="1"/>
        <c:lblAlgn val="ctr"/>
        <c:lblOffset val="100"/>
        <c:noMultiLvlLbl val="0"/>
      </c:catAx>
      <c:valAx>
        <c:axId val="1262088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620884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lineChart>
        <c:grouping val="standard"/>
        <c:varyColors val="0"/>
        <c:ser>
          <c:idx val="0"/>
          <c:order val="0"/>
          <c:tx>
            <c:strRef>
              <c:f>Feuil3!$B$1</c:f>
              <c:strCache>
                <c:ptCount val="1"/>
                <c:pt idx="0">
                  <c:v>SCOPE 2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Feuil3!$A$2:$A$5</c:f>
              <c:numCache>
                <c:formatCode>General</c:formatCode>
                <c:ptCount val="4"/>
                <c:pt idx="0">
                  <c:v>2022</c:v>
                </c:pt>
                <c:pt idx="1">
                  <c:v>2023</c:v>
                </c:pt>
                <c:pt idx="2">
                  <c:v>2024</c:v>
                </c:pt>
                <c:pt idx="3">
                  <c:v>2025</c:v>
                </c:pt>
              </c:numCache>
            </c:numRef>
          </c:cat>
          <c:val>
            <c:numRef>
              <c:f>Feuil3!$B$2:$B$5</c:f>
              <c:numCache>
                <c:formatCode>General</c:formatCode>
                <c:ptCount val="4"/>
                <c:pt idx="0">
                  <c:v>180</c:v>
                </c:pt>
                <c:pt idx="1">
                  <c:v>0</c:v>
                </c:pt>
                <c:pt idx="2">
                  <c:v>174</c:v>
                </c:pt>
                <c:pt idx="3">
                  <c:v>180</c:v>
                </c:pt>
              </c:numCache>
            </c:numRef>
          </c:val>
          <c:smooth val="0"/>
          <c:extLst>
            <c:ext xmlns:c16="http://schemas.microsoft.com/office/drawing/2014/chart" uri="{C3380CC4-5D6E-409C-BE32-E72D297353CC}">
              <c16:uniqueId val="{00000000-A178-49ED-9620-77B41C8C2147}"/>
            </c:ext>
          </c:extLst>
        </c:ser>
        <c:dLbls>
          <c:dLblPos val="ctr"/>
          <c:showLegendKey val="0"/>
          <c:showVal val="1"/>
          <c:showCatName val="0"/>
          <c:showSerName val="0"/>
          <c:showPercent val="0"/>
          <c:showBubbleSize val="0"/>
        </c:dLbls>
        <c:marker val="1"/>
        <c:smooth val="0"/>
        <c:axId val="1763988144"/>
        <c:axId val="1763993424"/>
      </c:lineChart>
      <c:catAx>
        <c:axId val="1763988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763993424"/>
        <c:crosses val="autoZero"/>
        <c:auto val="1"/>
        <c:lblAlgn val="ctr"/>
        <c:lblOffset val="100"/>
        <c:noMultiLvlLbl val="0"/>
      </c:catAx>
      <c:valAx>
        <c:axId val="1763993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639881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516462669889035"/>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lineChart>
        <c:grouping val="standard"/>
        <c:varyColors val="0"/>
        <c:ser>
          <c:idx val="0"/>
          <c:order val="0"/>
          <c:tx>
            <c:strRef>
              <c:f>Feuil3!$B$1</c:f>
              <c:strCache>
                <c:ptCount val="1"/>
                <c:pt idx="0">
                  <c:v>SCOPE 3</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Feuil3!$A$2:$A$5</c:f>
              <c:numCache>
                <c:formatCode>General</c:formatCode>
                <c:ptCount val="4"/>
                <c:pt idx="0">
                  <c:v>2022</c:v>
                </c:pt>
                <c:pt idx="1">
                  <c:v>2023</c:v>
                </c:pt>
                <c:pt idx="2">
                  <c:v>2024</c:v>
                </c:pt>
                <c:pt idx="3">
                  <c:v>2025</c:v>
                </c:pt>
              </c:numCache>
            </c:numRef>
          </c:cat>
          <c:val>
            <c:numRef>
              <c:f>Feuil3!$B$2:$B$5</c:f>
              <c:numCache>
                <c:formatCode>General</c:formatCode>
                <c:ptCount val="4"/>
                <c:pt idx="0">
                  <c:v>7991</c:v>
                </c:pt>
                <c:pt idx="1">
                  <c:v>0</c:v>
                </c:pt>
                <c:pt idx="2">
                  <c:v>0</c:v>
                </c:pt>
                <c:pt idx="3">
                  <c:v>7705</c:v>
                </c:pt>
              </c:numCache>
            </c:numRef>
          </c:val>
          <c:smooth val="0"/>
          <c:extLst>
            <c:ext xmlns:c16="http://schemas.microsoft.com/office/drawing/2014/chart" uri="{C3380CC4-5D6E-409C-BE32-E72D297353CC}">
              <c16:uniqueId val="{00000000-34A1-48A1-B928-4B1758C25034}"/>
            </c:ext>
          </c:extLst>
        </c:ser>
        <c:dLbls>
          <c:dLblPos val="ctr"/>
          <c:showLegendKey val="0"/>
          <c:showVal val="1"/>
          <c:showCatName val="0"/>
          <c:showSerName val="0"/>
          <c:showPercent val="0"/>
          <c:showBubbleSize val="0"/>
        </c:dLbls>
        <c:marker val="1"/>
        <c:smooth val="0"/>
        <c:axId val="1763988144"/>
        <c:axId val="1763993424"/>
      </c:lineChart>
      <c:catAx>
        <c:axId val="1763988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763993424"/>
        <c:crosses val="autoZero"/>
        <c:auto val="1"/>
        <c:lblAlgn val="ctr"/>
        <c:lblOffset val="100"/>
        <c:noMultiLvlLbl val="0"/>
      </c:catAx>
      <c:valAx>
        <c:axId val="1763993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639881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Consommation gaz (M3)</a:t>
            </a:r>
          </a:p>
        </c:rich>
      </c:tx>
      <c:layout>
        <c:manualLayout>
          <c:xMode val="edge"/>
          <c:yMode val="edge"/>
          <c:x val="5.017752141447434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numRef>
              <c:f>Environnement!$B$6:$F$6</c:f>
              <c:numCache>
                <c:formatCode>General</c:formatCode>
                <c:ptCount val="5"/>
                <c:pt idx="0">
                  <c:v>2022</c:v>
                </c:pt>
                <c:pt idx="1">
                  <c:v>2023</c:v>
                </c:pt>
                <c:pt idx="2">
                  <c:v>2024</c:v>
                </c:pt>
                <c:pt idx="3">
                  <c:v>2025</c:v>
                </c:pt>
                <c:pt idx="4">
                  <c:v>2026</c:v>
                </c:pt>
              </c:numCache>
            </c:numRef>
          </c:cat>
          <c:val>
            <c:numRef>
              <c:f>Environnement!$B$29:$F$29</c:f>
              <c:numCache>
                <c:formatCode>#,##0</c:formatCode>
                <c:ptCount val="5"/>
                <c:pt idx="0">
                  <c:v>35131</c:v>
                </c:pt>
                <c:pt idx="1">
                  <c:v>20502</c:v>
                </c:pt>
                <c:pt idx="2" formatCode="General">
                  <c:v>9440</c:v>
                </c:pt>
                <c:pt idx="3" formatCode="General">
                  <c:v>5842</c:v>
                </c:pt>
              </c:numCache>
            </c:numRef>
          </c:val>
          <c:extLst>
            <c:ext xmlns:c16="http://schemas.microsoft.com/office/drawing/2014/chart" uri="{C3380CC4-5D6E-409C-BE32-E72D297353CC}">
              <c16:uniqueId val="{00000000-4809-46EC-8D8E-B38F9E9A5695}"/>
            </c:ext>
          </c:extLst>
        </c:ser>
        <c:dLbls>
          <c:showLegendKey val="0"/>
          <c:showVal val="0"/>
          <c:showCatName val="0"/>
          <c:showSerName val="0"/>
          <c:showPercent val="0"/>
          <c:showBubbleSize val="0"/>
        </c:dLbls>
        <c:gapWidth val="150"/>
        <c:axId val="31025440"/>
        <c:axId val="31027104"/>
      </c:barChart>
      <c:catAx>
        <c:axId val="310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027104"/>
        <c:crosses val="autoZero"/>
        <c:auto val="1"/>
        <c:lblAlgn val="ctr"/>
        <c:lblOffset val="100"/>
        <c:noMultiLvlLbl val="0"/>
      </c:catAx>
      <c:valAx>
        <c:axId val="31027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02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Consommation totale d'électricité (MWh)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numRef>
              <c:f>Environnement!$B$6:$F$6</c:f>
              <c:numCache>
                <c:formatCode>General</c:formatCode>
                <c:ptCount val="5"/>
                <c:pt idx="0">
                  <c:v>2022</c:v>
                </c:pt>
                <c:pt idx="1">
                  <c:v>2023</c:v>
                </c:pt>
                <c:pt idx="2">
                  <c:v>2024</c:v>
                </c:pt>
                <c:pt idx="3">
                  <c:v>2025</c:v>
                </c:pt>
                <c:pt idx="4">
                  <c:v>2026</c:v>
                </c:pt>
              </c:numCache>
            </c:numRef>
          </c:cat>
          <c:val>
            <c:numRef>
              <c:f>Environnement!$B$26:$F$26</c:f>
              <c:numCache>
                <c:formatCode>0</c:formatCode>
                <c:ptCount val="5"/>
                <c:pt idx="0">
                  <c:v>5333.29</c:v>
                </c:pt>
                <c:pt idx="1">
                  <c:v>5160</c:v>
                </c:pt>
                <c:pt idx="2" formatCode="General">
                  <c:v>4172</c:v>
                </c:pt>
                <c:pt idx="3" formatCode="General">
                  <c:v>3862</c:v>
                </c:pt>
              </c:numCache>
            </c:numRef>
          </c:val>
          <c:extLst>
            <c:ext xmlns:c16="http://schemas.microsoft.com/office/drawing/2014/chart" uri="{C3380CC4-5D6E-409C-BE32-E72D297353CC}">
              <c16:uniqueId val="{00000000-EDD0-4585-8BD8-5FEE02D79C76}"/>
            </c:ext>
          </c:extLst>
        </c:ser>
        <c:dLbls>
          <c:showLegendKey val="0"/>
          <c:showVal val="0"/>
          <c:showCatName val="0"/>
          <c:showSerName val="0"/>
          <c:showPercent val="0"/>
          <c:showBubbleSize val="0"/>
        </c:dLbls>
        <c:gapWidth val="150"/>
        <c:axId val="31025440"/>
        <c:axId val="31027104"/>
      </c:barChart>
      <c:catAx>
        <c:axId val="310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027104"/>
        <c:crosses val="autoZero"/>
        <c:auto val="1"/>
        <c:lblAlgn val="ctr"/>
        <c:lblOffset val="100"/>
        <c:noMultiLvlLbl val="0"/>
      </c:catAx>
      <c:valAx>
        <c:axId val="31027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02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14</Pages>
  <Words>2881</Words>
  <Characters>15846</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ADV MBP</dc:creator>
  <cp:keywords/>
  <dc:description/>
  <cp:lastModifiedBy>Jenny Torchin</cp:lastModifiedBy>
  <cp:revision>5</cp:revision>
  <cp:lastPrinted>2026-04-03T11:29:00Z</cp:lastPrinted>
  <dcterms:created xsi:type="dcterms:W3CDTF">2026-04-03T14:53:00Z</dcterms:created>
  <dcterms:modified xsi:type="dcterms:W3CDTF">2026-04-07T15:03:00Z</dcterms:modified>
</cp:coreProperties>
</file>